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E8" w:rsidRDefault="004055A1" w:rsidP="002A5DE8">
      <w:pPr>
        <w:jc w:val="center"/>
      </w:pPr>
      <w:r>
        <w:rPr>
          <w:rFonts w:ascii="Calibri Light" w:eastAsia="Times New Roman" w:hAnsi="Calibri Light"/>
          <w:b/>
          <w:noProof/>
          <w:color w:val="5B9BD5"/>
          <w:sz w:val="36"/>
          <w:szCs w:val="36"/>
        </w:rPr>
        <w:drawing>
          <wp:inline distT="0" distB="0" distL="0" distR="0">
            <wp:extent cx="16002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tbl>
      <w:tblPr>
        <w:tblW w:w="101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54"/>
        <w:gridCol w:w="5220"/>
      </w:tblGrid>
      <w:tr w:rsidR="0073685B" w:rsidRPr="00047FB0" w:rsidTr="00A0227E">
        <w:trPr>
          <w:trHeight w:val="530"/>
        </w:trPr>
        <w:tc>
          <w:tcPr>
            <w:tcW w:w="10174" w:type="dxa"/>
            <w:gridSpan w:val="2"/>
            <w:shd w:val="clear" w:color="auto" w:fill="FFFFFF"/>
          </w:tcPr>
          <w:p w:rsidR="0073685B" w:rsidRPr="00047FB0" w:rsidRDefault="002A5DE8" w:rsidP="002A5DE8">
            <w:pPr>
              <w:rPr>
                <w:rFonts w:ascii="Arial" w:hAnsi="Arial" w:cs="Arial"/>
                <w:b/>
                <w:sz w:val="32"/>
                <w:szCs w:val="32"/>
              </w:rPr>
            </w:pPr>
            <w:r w:rsidRPr="00047FB0">
              <w:rPr>
                <w:rFonts w:ascii="Arial" w:hAnsi="Arial" w:cs="Arial"/>
                <w:b/>
                <w:sz w:val="32"/>
                <w:szCs w:val="32"/>
              </w:rPr>
              <w:t xml:space="preserve">Policy </w:t>
            </w:r>
            <w:r w:rsidR="0073685B" w:rsidRPr="00047FB0">
              <w:rPr>
                <w:rFonts w:ascii="Arial" w:hAnsi="Arial" w:cs="Arial"/>
                <w:b/>
                <w:sz w:val="32"/>
                <w:szCs w:val="32"/>
              </w:rPr>
              <w:t>T</w:t>
            </w:r>
            <w:r w:rsidRPr="00047FB0">
              <w:rPr>
                <w:rFonts w:ascii="Arial" w:hAnsi="Arial" w:cs="Arial"/>
                <w:b/>
                <w:sz w:val="32"/>
                <w:szCs w:val="32"/>
              </w:rPr>
              <w:t>itle:</w:t>
            </w:r>
            <w:r w:rsidR="00ED21E0" w:rsidRPr="00047FB0">
              <w:rPr>
                <w:rFonts w:ascii="Arial" w:hAnsi="Arial" w:cs="Arial"/>
                <w:b/>
                <w:sz w:val="32"/>
                <w:szCs w:val="32"/>
              </w:rPr>
              <w:t xml:space="preserve"> </w:t>
            </w:r>
            <w:r w:rsidR="003A4DE1" w:rsidRPr="00047FB0">
              <w:rPr>
                <w:rFonts w:ascii="Arial" w:hAnsi="Arial" w:cs="Arial"/>
                <w:b/>
                <w:sz w:val="32"/>
                <w:szCs w:val="32"/>
              </w:rPr>
              <w:t xml:space="preserve">Patient Financial Assistance </w:t>
            </w:r>
          </w:p>
        </w:tc>
      </w:tr>
      <w:tr w:rsidR="00ED21E0" w:rsidRPr="00047FB0" w:rsidTr="00ED21E0">
        <w:trPr>
          <w:trHeight w:val="432"/>
        </w:trPr>
        <w:tc>
          <w:tcPr>
            <w:tcW w:w="10174" w:type="dxa"/>
            <w:gridSpan w:val="2"/>
            <w:shd w:val="clear" w:color="auto" w:fill="FFFFFF"/>
          </w:tcPr>
          <w:p w:rsidR="00ED21E0" w:rsidRPr="00047FB0" w:rsidRDefault="00ED21E0" w:rsidP="00B042C9">
            <w:pPr>
              <w:rPr>
                <w:rFonts w:ascii="Arial" w:hAnsi="Arial" w:cs="Arial"/>
                <w:b/>
                <w:sz w:val="32"/>
                <w:szCs w:val="32"/>
              </w:rPr>
            </w:pPr>
            <w:r w:rsidRPr="00047FB0">
              <w:rPr>
                <w:rFonts w:ascii="Arial" w:hAnsi="Arial" w:cs="Arial"/>
                <w:b/>
                <w:sz w:val="32"/>
                <w:szCs w:val="32"/>
              </w:rPr>
              <w:t xml:space="preserve">Policy Number: </w:t>
            </w:r>
            <w:r w:rsidR="00B042C9" w:rsidRPr="00047FB0">
              <w:rPr>
                <w:rFonts w:ascii="Arial" w:hAnsi="Arial" w:cs="Arial"/>
                <w:b/>
                <w:sz w:val="32"/>
                <w:szCs w:val="32"/>
              </w:rPr>
              <w:t>OFS</w:t>
            </w:r>
            <w:r w:rsidR="003A4DE1" w:rsidRPr="00047FB0">
              <w:rPr>
                <w:rFonts w:ascii="Arial" w:hAnsi="Arial" w:cs="Arial"/>
                <w:b/>
                <w:sz w:val="32"/>
                <w:szCs w:val="32"/>
              </w:rPr>
              <w:t>-</w:t>
            </w:r>
            <w:r w:rsidR="00B042C9" w:rsidRPr="00047FB0">
              <w:rPr>
                <w:rFonts w:ascii="Arial" w:hAnsi="Arial" w:cs="Arial"/>
                <w:b/>
                <w:sz w:val="32"/>
                <w:szCs w:val="32"/>
              </w:rPr>
              <w:t>007</w:t>
            </w:r>
          </w:p>
        </w:tc>
      </w:tr>
      <w:tr w:rsidR="002A5DE8" w:rsidRPr="00047FB0" w:rsidTr="00A0227E">
        <w:tc>
          <w:tcPr>
            <w:tcW w:w="4954" w:type="dxa"/>
            <w:shd w:val="clear" w:color="auto" w:fill="FFFFFF"/>
          </w:tcPr>
          <w:p w:rsidR="002A5DE8" w:rsidRPr="00047FB0" w:rsidRDefault="002A5DE8" w:rsidP="002A5DE8">
            <w:pPr>
              <w:rPr>
                <w:rFonts w:ascii="Arial" w:hAnsi="Arial" w:cs="Arial"/>
                <w:sz w:val="32"/>
                <w:szCs w:val="32"/>
              </w:rPr>
            </w:pPr>
            <w:r w:rsidRPr="00047FB0">
              <w:rPr>
                <w:rFonts w:ascii="Arial" w:hAnsi="Arial" w:cs="Arial"/>
                <w:b/>
                <w:sz w:val="32"/>
                <w:szCs w:val="32"/>
              </w:rPr>
              <w:t>Effective Date:</w:t>
            </w:r>
            <w:r w:rsidR="003A4DE1" w:rsidRPr="00047FB0">
              <w:rPr>
                <w:rFonts w:ascii="Arial" w:hAnsi="Arial" w:cs="Arial"/>
                <w:b/>
                <w:sz w:val="32"/>
                <w:szCs w:val="32"/>
              </w:rPr>
              <w:t xml:space="preserve"> 01/01/2016</w:t>
            </w:r>
          </w:p>
        </w:tc>
        <w:tc>
          <w:tcPr>
            <w:tcW w:w="5220" w:type="dxa"/>
            <w:shd w:val="clear" w:color="auto" w:fill="FFFFFF"/>
          </w:tcPr>
          <w:p w:rsidR="002A5DE8" w:rsidRPr="00047FB0" w:rsidRDefault="002A5DE8" w:rsidP="002A5DE8">
            <w:pPr>
              <w:rPr>
                <w:rFonts w:ascii="Arial" w:hAnsi="Arial" w:cs="Arial"/>
                <w:sz w:val="32"/>
                <w:szCs w:val="32"/>
              </w:rPr>
            </w:pPr>
            <w:r w:rsidRPr="00047FB0">
              <w:rPr>
                <w:rFonts w:ascii="Arial" w:hAnsi="Arial" w:cs="Arial"/>
                <w:b/>
                <w:sz w:val="32"/>
                <w:szCs w:val="32"/>
              </w:rPr>
              <w:t xml:space="preserve">Revision Date: </w:t>
            </w:r>
            <w:r w:rsidR="00047FB0" w:rsidRPr="00047FB0">
              <w:rPr>
                <w:rFonts w:ascii="Arial" w:hAnsi="Arial" w:cs="Arial"/>
                <w:b/>
                <w:sz w:val="32"/>
                <w:szCs w:val="32"/>
              </w:rPr>
              <w:t>03/09/2020</w:t>
            </w:r>
          </w:p>
        </w:tc>
      </w:tr>
      <w:tr w:rsidR="002A5DE8" w:rsidRPr="00047FB0" w:rsidTr="00A0227E">
        <w:tc>
          <w:tcPr>
            <w:tcW w:w="4954" w:type="dxa"/>
            <w:shd w:val="clear" w:color="auto" w:fill="FFFFFF"/>
          </w:tcPr>
          <w:p w:rsidR="002A5DE8" w:rsidRPr="00047FB0" w:rsidRDefault="002A5DE8" w:rsidP="00242F55">
            <w:pPr>
              <w:rPr>
                <w:rFonts w:ascii="Arial" w:hAnsi="Arial" w:cs="Arial"/>
                <w:sz w:val="32"/>
                <w:szCs w:val="32"/>
              </w:rPr>
            </w:pPr>
            <w:r w:rsidRPr="00047FB0">
              <w:rPr>
                <w:rFonts w:ascii="Arial" w:hAnsi="Arial" w:cs="Arial"/>
                <w:b/>
                <w:sz w:val="32"/>
                <w:szCs w:val="32"/>
              </w:rPr>
              <w:t>Manual/Section</w:t>
            </w:r>
            <w:r w:rsidRPr="00047FB0">
              <w:rPr>
                <w:rFonts w:ascii="Arial" w:hAnsi="Arial" w:cs="Arial"/>
                <w:sz w:val="32"/>
                <w:szCs w:val="32"/>
              </w:rPr>
              <w:t>:</w:t>
            </w:r>
            <w:r w:rsidR="00FE0895" w:rsidRPr="00047FB0">
              <w:rPr>
                <w:rFonts w:ascii="Arial" w:hAnsi="Arial" w:cs="Arial"/>
                <w:sz w:val="32"/>
                <w:szCs w:val="32"/>
              </w:rPr>
              <w:t xml:space="preserve"> </w:t>
            </w:r>
            <w:r w:rsidR="00242F55" w:rsidRPr="00047FB0">
              <w:rPr>
                <w:rFonts w:ascii="Arial" w:hAnsi="Arial" w:cs="Arial"/>
                <w:sz w:val="32"/>
                <w:szCs w:val="32"/>
              </w:rPr>
              <w:t>OFS</w:t>
            </w:r>
          </w:p>
        </w:tc>
        <w:tc>
          <w:tcPr>
            <w:tcW w:w="5220" w:type="dxa"/>
            <w:shd w:val="clear" w:color="auto" w:fill="FFFFFF"/>
          </w:tcPr>
          <w:p w:rsidR="002A5DE8" w:rsidRPr="00047FB0" w:rsidRDefault="002A5DE8" w:rsidP="002A5DE8">
            <w:pPr>
              <w:rPr>
                <w:rFonts w:ascii="Arial" w:hAnsi="Arial" w:cs="Arial"/>
                <w:sz w:val="32"/>
                <w:szCs w:val="32"/>
              </w:rPr>
            </w:pPr>
          </w:p>
        </w:tc>
      </w:tr>
      <w:tr w:rsidR="002A5DE8" w:rsidRPr="00047FB0" w:rsidTr="00ED21E0">
        <w:tc>
          <w:tcPr>
            <w:tcW w:w="10174" w:type="dxa"/>
            <w:gridSpan w:val="2"/>
            <w:shd w:val="clear" w:color="auto" w:fill="FFFFFF"/>
          </w:tcPr>
          <w:p w:rsidR="002A5DE8" w:rsidRPr="00047FB0" w:rsidRDefault="002A5DE8" w:rsidP="00285336">
            <w:pPr>
              <w:rPr>
                <w:rFonts w:ascii="Arial" w:hAnsi="Arial" w:cs="Arial"/>
                <w:sz w:val="32"/>
                <w:szCs w:val="32"/>
              </w:rPr>
            </w:pPr>
            <w:r w:rsidRPr="00047FB0">
              <w:rPr>
                <w:rFonts w:ascii="Arial" w:hAnsi="Arial" w:cs="Arial"/>
                <w:b/>
                <w:sz w:val="32"/>
                <w:szCs w:val="32"/>
              </w:rPr>
              <w:t xml:space="preserve">Applicable Catalogs: </w:t>
            </w:r>
            <w:r w:rsidR="00B042C9" w:rsidRPr="00047FB0">
              <w:rPr>
                <w:rFonts w:ascii="Arial" w:hAnsi="Arial" w:cs="Arial"/>
                <w:b/>
                <w:sz w:val="32"/>
                <w:szCs w:val="32"/>
              </w:rPr>
              <w:t>CAH</w:t>
            </w:r>
            <w:r w:rsidR="000F6018" w:rsidRPr="00047FB0">
              <w:rPr>
                <w:rFonts w:ascii="Arial" w:hAnsi="Arial" w:cs="Arial"/>
                <w:b/>
                <w:sz w:val="32"/>
                <w:szCs w:val="32"/>
              </w:rPr>
              <w:t xml:space="preserve"> </w:t>
            </w:r>
            <w:r w:rsidR="00047FB0" w:rsidRPr="00047FB0">
              <w:rPr>
                <w:rFonts w:ascii="Arial" w:hAnsi="Arial" w:cs="Arial"/>
                <w:b/>
                <w:sz w:val="32"/>
                <w:szCs w:val="32"/>
              </w:rPr>
              <w:t>,</w:t>
            </w:r>
            <w:r w:rsidR="00B042C9" w:rsidRPr="00047FB0">
              <w:rPr>
                <w:rFonts w:ascii="Arial" w:hAnsi="Arial" w:cs="Arial"/>
                <w:b/>
                <w:sz w:val="32"/>
                <w:szCs w:val="32"/>
              </w:rPr>
              <w:t xml:space="preserve"> SWG</w:t>
            </w:r>
            <w:r w:rsidR="00047FB0" w:rsidRPr="00047FB0">
              <w:rPr>
                <w:rFonts w:ascii="Arial" w:hAnsi="Arial" w:cs="Arial"/>
                <w:b/>
                <w:sz w:val="32"/>
                <w:szCs w:val="32"/>
              </w:rPr>
              <w:t>, RHC</w:t>
            </w:r>
          </w:p>
        </w:tc>
      </w:tr>
    </w:tbl>
    <w:p w:rsidR="00FE0895" w:rsidRPr="00047FB0" w:rsidRDefault="00FE0895" w:rsidP="00FE0895">
      <w:pPr>
        <w:spacing w:after="0" w:line="240" w:lineRule="auto"/>
        <w:rPr>
          <w:rFonts w:ascii="Times New Roman" w:eastAsiaTheme="minorHAnsi" w:hAnsi="Times New Roman"/>
          <w:b/>
          <w:sz w:val="32"/>
          <w:szCs w:val="32"/>
        </w:rPr>
      </w:pPr>
      <w:r w:rsidRPr="00047FB0">
        <w:rPr>
          <w:rFonts w:ascii="Times New Roman" w:eastAsiaTheme="minorHAnsi" w:hAnsi="Times New Roman"/>
          <w:b/>
          <w:sz w:val="32"/>
          <w:szCs w:val="32"/>
        </w:rPr>
        <w:t>PURPOSE:</w:t>
      </w:r>
    </w:p>
    <w:p w:rsidR="00FE0895" w:rsidRPr="00047FB0" w:rsidRDefault="00FE0895" w:rsidP="00FE0895">
      <w:pPr>
        <w:spacing w:after="0" w:line="240" w:lineRule="auto"/>
        <w:rPr>
          <w:rFonts w:ascii="Times New Roman" w:eastAsiaTheme="minorHAnsi" w:hAnsi="Times New Roman"/>
          <w:strike/>
          <w:sz w:val="32"/>
          <w:szCs w:val="32"/>
        </w:rPr>
      </w:pPr>
    </w:p>
    <w:p w:rsidR="00047FB0" w:rsidRPr="00047FB0" w:rsidRDefault="00047FB0" w:rsidP="00047FB0">
      <w:pPr>
        <w:autoSpaceDE w:val="0"/>
        <w:autoSpaceDN w:val="0"/>
        <w:adjustRightInd w:val="0"/>
        <w:spacing w:after="0" w:line="240" w:lineRule="auto"/>
        <w:rPr>
          <w:rFonts w:ascii="TimesNewRomanPSMT" w:hAnsi="TimesNewRomanPSMT" w:cs="TimesNewRomanPSMT"/>
          <w:sz w:val="32"/>
          <w:szCs w:val="32"/>
        </w:rPr>
      </w:pPr>
      <w:r w:rsidRPr="00047FB0">
        <w:rPr>
          <w:rFonts w:ascii="TimesNewRomanPSMT" w:hAnsi="TimesNewRomanPSMT" w:cs="TimesNewRomanPSMT"/>
          <w:sz w:val="32"/>
          <w:szCs w:val="32"/>
        </w:rPr>
        <w:t>This policy allows Livingston HealthCare to determine eligibility for financial assistance for patients who meet</w:t>
      </w:r>
    </w:p>
    <w:p w:rsidR="00047FB0" w:rsidRPr="00047FB0" w:rsidRDefault="00047FB0" w:rsidP="00047FB0">
      <w:pPr>
        <w:autoSpaceDE w:val="0"/>
        <w:autoSpaceDN w:val="0"/>
        <w:adjustRightInd w:val="0"/>
        <w:spacing w:after="0" w:line="240" w:lineRule="auto"/>
        <w:rPr>
          <w:rFonts w:ascii="TimesNewRomanPSMT" w:hAnsi="TimesNewRomanPSMT" w:cs="TimesNewRomanPSMT"/>
          <w:sz w:val="32"/>
          <w:szCs w:val="32"/>
        </w:rPr>
      </w:pPr>
      <w:r w:rsidRPr="00047FB0">
        <w:rPr>
          <w:rFonts w:ascii="TimesNewRomanPSMT" w:hAnsi="TimesNewRomanPSMT" w:cs="TimesNewRomanPSMT"/>
          <w:sz w:val="32"/>
          <w:szCs w:val="32"/>
        </w:rPr>
        <w:t xml:space="preserve">the established eligibility criteria. Financial assistance is approved only for </w:t>
      </w:r>
      <w:r w:rsidRPr="00047FB0">
        <w:rPr>
          <w:rFonts w:ascii="TimesNewRomanPS-ItalicMT" w:hAnsi="TimesNewRomanPS-ItalicMT" w:cs="TimesNewRomanPS-ItalicMT"/>
          <w:i/>
          <w:iCs/>
          <w:sz w:val="32"/>
          <w:szCs w:val="32"/>
        </w:rPr>
        <w:t xml:space="preserve">medically necessary </w:t>
      </w:r>
      <w:r w:rsidRPr="00047FB0">
        <w:rPr>
          <w:rFonts w:ascii="TimesNewRomanPSMT" w:hAnsi="TimesNewRomanPSMT" w:cs="TimesNewRomanPSMT"/>
          <w:sz w:val="32"/>
          <w:szCs w:val="32"/>
        </w:rPr>
        <w:t>services. The</w:t>
      </w:r>
    </w:p>
    <w:p w:rsidR="00047FB0" w:rsidRPr="00047FB0" w:rsidRDefault="00047FB0" w:rsidP="00047FB0">
      <w:pPr>
        <w:autoSpaceDE w:val="0"/>
        <w:autoSpaceDN w:val="0"/>
        <w:adjustRightInd w:val="0"/>
        <w:spacing w:after="0" w:line="240" w:lineRule="auto"/>
        <w:rPr>
          <w:rFonts w:ascii="TimesNewRomanPSMT" w:hAnsi="TimesNewRomanPSMT" w:cs="TimesNewRomanPSMT"/>
          <w:sz w:val="32"/>
          <w:szCs w:val="32"/>
        </w:rPr>
      </w:pPr>
      <w:r w:rsidRPr="00047FB0">
        <w:rPr>
          <w:rFonts w:ascii="TimesNewRomanPSMT" w:hAnsi="TimesNewRomanPSMT" w:cs="TimesNewRomanPSMT"/>
          <w:sz w:val="32"/>
          <w:szCs w:val="32"/>
        </w:rPr>
        <w:t>Financial Assistance program is intended to be the last payment resort after exhausting all other options. The</w:t>
      </w:r>
    </w:p>
    <w:p w:rsidR="00047FB0" w:rsidRPr="00047FB0" w:rsidRDefault="00047FB0" w:rsidP="00047FB0">
      <w:pPr>
        <w:autoSpaceDE w:val="0"/>
        <w:autoSpaceDN w:val="0"/>
        <w:adjustRightInd w:val="0"/>
        <w:spacing w:after="0" w:line="240" w:lineRule="auto"/>
        <w:rPr>
          <w:rFonts w:ascii="TimesNewRomanPSMT" w:hAnsi="TimesNewRomanPSMT" w:cs="TimesNewRomanPSMT"/>
          <w:sz w:val="32"/>
          <w:szCs w:val="32"/>
        </w:rPr>
      </w:pPr>
      <w:r w:rsidRPr="00047FB0">
        <w:rPr>
          <w:rFonts w:ascii="TimesNewRomanPSMT" w:hAnsi="TimesNewRomanPSMT" w:cs="TimesNewRomanPSMT"/>
          <w:sz w:val="32"/>
          <w:szCs w:val="32"/>
        </w:rPr>
        <w:t>policy also identifies steps that Livingston HealthCare will take to communicate the availability of financial</w:t>
      </w:r>
    </w:p>
    <w:p w:rsidR="00047FB0" w:rsidRPr="00047FB0" w:rsidRDefault="00047FB0" w:rsidP="00047FB0">
      <w:pPr>
        <w:autoSpaceDE w:val="0"/>
        <w:autoSpaceDN w:val="0"/>
        <w:adjustRightInd w:val="0"/>
        <w:spacing w:after="0" w:line="240" w:lineRule="auto"/>
        <w:rPr>
          <w:rFonts w:ascii="TimesNewRomanPSMT" w:hAnsi="TimesNewRomanPSMT" w:cs="TimesNewRomanPSMT"/>
          <w:sz w:val="32"/>
          <w:szCs w:val="32"/>
        </w:rPr>
      </w:pPr>
      <w:r w:rsidRPr="00047FB0">
        <w:rPr>
          <w:rFonts w:ascii="TimesNewRomanPSMT" w:hAnsi="TimesNewRomanPSMT" w:cs="TimesNewRomanPSMT"/>
          <w:sz w:val="32"/>
          <w:szCs w:val="32"/>
        </w:rPr>
        <w:t>assistance. Any information gathered by Livingston HealthCare during this process is subject to Livingston</w:t>
      </w:r>
    </w:p>
    <w:p w:rsidR="00047FB0" w:rsidRPr="00047FB0" w:rsidRDefault="00047FB0" w:rsidP="00047FB0">
      <w:pPr>
        <w:autoSpaceDE w:val="0"/>
        <w:autoSpaceDN w:val="0"/>
        <w:adjustRightInd w:val="0"/>
        <w:spacing w:after="0" w:line="240" w:lineRule="auto"/>
        <w:rPr>
          <w:rFonts w:ascii="TimesNewRomanPSMT" w:hAnsi="TimesNewRomanPSMT" w:cs="TimesNewRomanPSMT"/>
          <w:sz w:val="32"/>
          <w:szCs w:val="32"/>
        </w:rPr>
      </w:pPr>
      <w:r w:rsidRPr="00047FB0">
        <w:rPr>
          <w:rFonts w:ascii="TimesNewRomanPSMT" w:hAnsi="TimesNewRomanPSMT" w:cs="TimesNewRomanPSMT"/>
          <w:sz w:val="32"/>
          <w:szCs w:val="32"/>
        </w:rPr>
        <w:t>HealthCare’s policies concerning protection of confidential information.</w:t>
      </w:r>
    </w:p>
    <w:p w:rsidR="00CE03C5" w:rsidRPr="00047FB0" w:rsidRDefault="00CE03C5" w:rsidP="008020CD">
      <w:pPr>
        <w:spacing w:after="0" w:line="240" w:lineRule="auto"/>
        <w:rPr>
          <w:sz w:val="32"/>
          <w:szCs w:val="32"/>
          <w:u w:val="single"/>
        </w:rPr>
      </w:pPr>
    </w:p>
    <w:p w:rsidR="008020CD" w:rsidRPr="00047FB0" w:rsidRDefault="00F44335" w:rsidP="008020CD">
      <w:pPr>
        <w:widowControl w:val="0"/>
        <w:spacing w:after="0" w:line="240" w:lineRule="auto"/>
        <w:rPr>
          <w:rFonts w:ascii="Arial Black" w:hAnsi="Arial Black"/>
          <w:sz w:val="32"/>
          <w:szCs w:val="32"/>
          <w:u w:val="thick"/>
        </w:rPr>
      </w:pPr>
      <w:r w:rsidRPr="00047FB0">
        <w:rPr>
          <w:rFonts w:ascii="Arial Black" w:hAnsi="Arial Black"/>
          <w:b/>
          <w:sz w:val="32"/>
          <w:szCs w:val="32"/>
          <w:u w:val="thick"/>
        </w:rPr>
        <w:t>Policy Statement</w:t>
      </w:r>
    </w:p>
    <w:p w:rsidR="00047FB0" w:rsidRPr="00047FB0" w:rsidRDefault="00047FB0" w:rsidP="00047FB0">
      <w:pPr>
        <w:autoSpaceDE w:val="0"/>
        <w:autoSpaceDN w:val="0"/>
        <w:adjustRightInd w:val="0"/>
        <w:spacing w:after="0" w:line="240" w:lineRule="auto"/>
        <w:rPr>
          <w:rFonts w:ascii="TimesNewRomanPSMT" w:hAnsi="TimesNewRomanPSMT" w:cs="TimesNewRomanPSMT"/>
          <w:sz w:val="36"/>
          <w:szCs w:val="36"/>
        </w:rPr>
      </w:pPr>
      <w:r w:rsidRPr="00047FB0">
        <w:rPr>
          <w:rFonts w:ascii="TimesNewRomanPSMT" w:hAnsi="TimesNewRomanPSMT" w:cs="TimesNewRomanPSMT"/>
          <w:sz w:val="36"/>
          <w:szCs w:val="36"/>
        </w:rPr>
        <w:t>This policy outlines the process for providing financial assistance to individuals in need of medical care who are</w:t>
      </w:r>
    </w:p>
    <w:p w:rsidR="00047FB0" w:rsidRPr="00047FB0" w:rsidRDefault="00047FB0" w:rsidP="00047FB0">
      <w:pPr>
        <w:autoSpaceDE w:val="0"/>
        <w:autoSpaceDN w:val="0"/>
        <w:adjustRightInd w:val="0"/>
        <w:spacing w:after="0" w:line="240" w:lineRule="auto"/>
        <w:rPr>
          <w:rFonts w:ascii="TimesNewRomanPSMT" w:hAnsi="TimesNewRomanPSMT" w:cs="TimesNewRomanPSMT"/>
          <w:sz w:val="36"/>
          <w:szCs w:val="36"/>
        </w:rPr>
      </w:pPr>
      <w:r w:rsidRPr="00047FB0">
        <w:rPr>
          <w:rFonts w:ascii="TimesNewRomanPSMT" w:hAnsi="TimesNewRomanPSMT" w:cs="TimesNewRomanPSMT"/>
          <w:sz w:val="36"/>
          <w:szCs w:val="36"/>
        </w:rPr>
        <w:t>not eligible for other assistance programs, for those individuals who are uninsured, or underinsured, or for those</w:t>
      </w:r>
    </w:p>
    <w:p w:rsidR="00047FB0" w:rsidRPr="00047FB0" w:rsidRDefault="00047FB0" w:rsidP="00047FB0">
      <w:pPr>
        <w:autoSpaceDE w:val="0"/>
        <w:autoSpaceDN w:val="0"/>
        <w:adjustRightInd w:val="0"/>
        <w:spacing w:after="0" w:line="240" w:lineRule="auto"/>
        <w:rPr>
          <w:rFonts w:ascii="TimesNewRomanPSMT" w:hAnsi="TimesNewRomanPSMT" w:cs="TimesNewRomanPSMT"/>
          <w:sz w:val="36"/>
          <w:szCs w:val="36"/>
        </w:rPr>
      </w:pPr>
      <w:r w:rsidRPr="00047FB0">
        <w:rPr>
          <w:rFonts w:ascii="TimesNewRomanPSMT" w:hAnsi="TimesNewRomanPSMT" w:cs="TimesNewRomanPSMT"/>
          <w:sz w:val="36"/>
          <w:szCs w:val="36"/>
        </w:rPr>
        <w:t>individuals with a remaining balance after insurance that exceeds their financial means. Patients who choose not</w:t>
      </w:r>
    </w:p>
    <w:p w:rsidR="00047FB0" w:rsidRPr="00047FB0" w:rsidRDefault="00047FB0" w:rsidP="00047FB0">
      <w:pPr>
        <w:autoSpaceDE w:val="0"/>
        <w:autoSpaceDN w:val="0"/>
        <w:adjustRightInd w:val="0"/>
        <w:spacing w:after="0" w:line="240" w:lineRule="auto"/>
        <w:rPr>
          <w:rFonts w:ascii="TimesNewRomanPSMT" w:hAnsi="TimesNewRomanPSMT" w:cs="TimesNewRomanPSMT"/>
          <w:sz w:val="36"/>
          <w:szCs w:val="36"/>
        </w:rPr>
      </w:pPr>
      <w:r w:rsidRPr="00047FB0">
        <w:rPr>
          <w:rFonts w:ascii="TimesNewRomanPSMT" w:hAnsi="TimesNewRomanPSMT" w:cs="TimesNewRomanPSMT"/>
          <w:sz w:val="36"/>
          <w:szCs w:val="36"/>
        </w:rPr>
        <w:t xml:space="preserve">to bill their insurance </w:t>
      </w:r>
      <w:r w:rsidRPr="00047FB0">
        <w:rPr>
          <w:rFonts w:ascii="TimesNewRomanPS-BoldMT" w:hAnsi="TimesNewRomanPS-BoldMT" w:cs="TimesNewRomanPS-BoldMT"/>
          <w:b/>
          <w:bCs/>
          <w:sz w:val="36"/>
          <w:szCs w:val="36"/>
        </w:rPr>
        <w:t xml:space="preserve">are not </w:t>
      </w:r>
      <w:r w:rsidRPr="00047FB0">
        <w:rPr>
          <w:rFonts w:ascii="TimesNewRomanPSMT" w:hAnsi="TimesNewRomanPSMT" w:cs="TimesNewRomanPSMT"/>
          <w:sz w:val="36"/>
          <w:szCs w:val="36"/>
        </w:rPr>
        <w:t>eligible for financial assistance.</w:t>
      </w:r>
    </w:p>
    <w:p w:rsidR="00047FB0" w:rsidRPr="00047FB0" w:rsidRDefault="00047FB0" w:rsidP="00047FB0">
      <w:pPr>
        <w:autoSpaceDE w:val="0"/>
        <w:autoSpaceDN w:val="0"/>
        <w:adjustRightInd w:val="0"/>
        <w:spacing w:after="0" w:line="240" w:lineRule="auto"/>
        <w:rPr>
          <w:rFonts w:ascii="TimesNewRomanPSMT" w:hAnsi="TimesNewRomanPSMT" w:cs="TimesNewRomanPSMT"/>
          <w:sz w:val="36"/>
          <w:szCs w:val="36"/>
        </w:rPr>
      </w:pPr>
      <w:r w:rsidRPr="00047FB0">
        <w:rPr>
          <w:rFonts w:ascii="TimesNewRomanPSMT" w:hAnsi="TimesNewRomanPSMT" w:cs="TimesNewRomanPSMT"/>
          <w:sz w:val="36"/>
          <w:szCs w:val="36"/>
        </w:rPr>
        <w:t>Financial assistance is available for the portion of the patient care services provided by Livingston HealthCare</w:t>
      </w:r>
    </w:p>
    <w:p w:rsidR="00047FB0" w:rsidRDefault="00047FB0" w:rsidP="00047FB0">
      <w:pPr>
        <w:rPr>
          <w:rFonts w:ascii="TimesNewRomanPSMT" w:hAnsi="TimesNewRomanPSMT" w:cs="TimesNewRomanPSMT"/>
          <w:sz w:val="36"/>
          <w:szCs w:val="36"/>
        </w:rPr>
      </w:pPr>
      <w:r w:rsidRPr="00047FB0">
        <w:rPr>
          <w:rFonts w:ascii="TimesNewRomanPSMT" w:hAnsi="TimesNewRomanPSMT" w:cs="TimesNewRomanPSMT"/>
          <w:sz w:val="36"/>
          <w:szCs w:val="36"/>
        </w:rPr>
        <w:t>of which a third-party payer is not responsible</w:t>
      </w:r>
      <w:r w:rsidR="0080320E">
        <w:rPr>
          <w:rFonts w:ascii="TimesNewRomanPSMT" w:hAnsi="TimesNewRomanPSMT" w:cs="TimesNewRomanPSMT"/>
          <w:sz w:val="36"/>
          <w:szCs w:val="36"/>
        </w:rPr>
        <w:t>,</w:t>
      </w:r>
      <w:r w:rsidRPr="00047FB0">
        <w:rPr>
          <w:rFonts w:ascii="TimesNewRomanPSMT" w:hAnsi="TimesNewRomanPSMT" w:cs="TimesNewRomanPSMT"/>
          <w:sz w:val="36"/>
          <w:szCs w:val="36"/>
        </w:rPr>
        <w:t xml:space="preserve"> and the patient has demonstrated the inability to pay.</w:t>
      </w:r>
      <w:bookmarkStart w:id="0" w:name="_Hlk15905333"/>
    </w:p>
    <w:p w:rsidR="00047FB0" w:rsidRPr="007A64AB" w:rsidRDefault="00047FB0" w:rsidP="00047FB0">
      <w:pPr>
        <w:rPr>
          <w:sz w:val="36"/>
          <w:szCs w:val="36"/>
        </w:rPr>
      </w:pPr>
      <w:r>
        <w:rPr>
          <w:sz w:val="36"/>
          <w:szCs w:val="36"/>
        </w:rPr>
        <w:t>Financial assistance application period is up</w:t>
      </w:r>
      <w:r w:rsidRPr="007A64AB">
        <w:rPr>
          <w:sz w:val="36"/>
          <w:szCs w:val="36"/>
        </w:rPr>
        <w:t xml:space="preserve"> to 240 days after date of first billing statement</w:t>
      </w:r>
      <w:r>
        <w:rPr>
          <w:sz w:val="36"/>
          <w:szCs w:val="36"/>
        </w:rPr>
        <w:t>.</w:t>
      </w:r>
      <w:bookmarkEnd w:id="0"/>
      <w:r w:rsidRPr="007A64AB">
        <w:rPr>
          <w:sz w:val="36"/>
          <w:szCs w:val="36"/>
        </w:rPr>
        <w:t xml:space="preserve"> </w:t>
      </w:r>
    </w:p>
    <w:p w:rsidR="00F44335" w:rsidRPr="00047FB0" w:rsidRDefault="00F44335" w:rsidP="008020CD">
      <w:pPr>
        <w:widowControl w:val="0"/>
        <w:spacing w:after="0" w:line="240" w:lineRule="auto"/>
        <w:rPr>
          <w:rFonts w:ascii="Arial Black" w:hAnsi="Arial Black"/>
          <w:b/>
          <w:sz w:val="32"/>
          <w:szCs w:val="32"/>
          <w:u w:val="thick"/>
        </w:rPr>
      </w:pPr>
      <w:r w:rsidRPr="00047FB0">
        <w:rPr>
          <w:rFonts w:ascii="Arial Black" w:hAnsi="Arial Black"/>
          <w:b/>
          <w:sz w:val="32"/>
          <w:szCs w:val="32"/>
          <w:u w:val="thick"/>
        </w:rPr>
        <w:t>Procedure</w:t>
      </w:r>
    </w:p>
    <w:p w:rsidR="00FE0895" w:rsidRPr="00047FB0" w:rsidRDefault="00FE0895" w:rsidP="00FE0895">
      <w:pPr>
        <w:spacing w:after="0" w:line="240" w:lineRule="auto"/>
        <w:rPr>
          <w:rFonts w:ascii="Times New Roman" w:eastAsiaTheme="minorHAnsi" w:hAnsi="Times New Roman"/>
          <w:sz w:val="32"/>
          <w:szCs w:val="32"/>
        </w:rPr>
      </w:pPr>
    </w:p>
    <w:p w:rsidR="00FE0895" w:rsidRPr="00047FB0" w:rsidRDefault="00FE0895" w:rsidP="00FE0895">
      <w:pPr>
        <w:numPr>
          <w:ilvl w:val="0"/>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Services Eligible Under This Policy:</w:t>
      </w:r>
    </w:p>
    <w:p w:rsidR="00FE0895" w:rsidRPr="00047FB0" w:rsidRDefault="00FE0895" w:rsidP="00FE0895">
      <w:pPr>
        <w:spacing w:after="0" w:line="240" w:lineRule="auto"/>
        <w:ind w:left="720"/>
        <w:rPr>
          <w:rFonts w:ascii="Times New Roman" w:eastAsiaTheme="minorHAnsi" w:hAnsi="Times New Roman"/>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Emergency medical services provided in an emergency department setting.</w:t>
      </w:r>
    </w:p>
    <w:p w:rsidR="00FE0895" w:rsidRPr="00047FB0" w:rsidRDefault="00FE0895" w:rsidP="00FE0895">
      <w:pPr>
        <w:spacing w:after="0" w:line="120" w:lineRule="exact"/>
        <w:ind w:left="1440"/>
        <w:rPr>
          <w:rFonts w:ascii="Times New Roman" w:eastAsiaTheme="minorHAnsi" w:hAnsi="Times New Roman"/>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Non-elective services provided in response to life-threatening circumstances in a non-emergency department setting.</w:t>
      </w:r>
    </w:p>
    <w:p w:rsidR="00FE0895" w:rsidRPr="00047FB0" w:rsidRDefault="00FE0895" w:rsidP="00FE0895">
      <w:pPr>
        <w:spacing w:after="0" w:line="120" w:lineRule="exact"/>
        <w:ind w:left="1440"/>
        <w:rPr>
          <w:rFonts w:ascii="Times New Roman" w:eastAsiaTheme="minorHAnsi" w:hAnsi="Times New Roman"/>
          <w:sz w:val="32"/>
          <w:szCs w:val="32"/>
        </w:rPr>
      </w:pPr>
    </w:p>
    <w:p w:rsidR="000F6018" w:rsidRPr="00047FB0" w:rsidRDefault="00FE0895" w:rsidP="000F6018">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Services for a condition which, if not promptly treated, would lead to an adverse change in the health status of an individual.  In the event a question arises as to whether the “condition” fits these criteria, the patient’s physician shall be consulted. Further review may be directed to a physician advisor or committee appointed by Livingston HealthCare.</w:t>
      </w:r>
    </w:p>
    <w:p w:rsidR="000F6018" w:rsidRPr="00047FB0" w:rsidRDefault="000F6018" w:rsidP="000F6018">
      <w:pPr>
        <w:spacing w:after="0" w:line="240" w:lineRule="auto"/>
        <w:ind w:left="1800"/>
        <w:contextualSpacing/>
        <w:rPr>
          <w:rFonts w:ascii="Times New Roman" w:eastAsiaTheme="minorHAnsi" w:hAnsi="Times New Roman"/>
          <w:sz w:val="32"/>
          <w:szCs w:val="32"/>
        </w:rPr>
      </w:pPr>
    </w:p>
    <w:p w:rsidR="000F6018" w:rsidRPr="00047FB0" w:rsidRDefault="000F6018" w:rsidP="000F6018">
      <w:pPr>
        <w:numPr>
          <w:ilvl w:val="1"/>
          <w:numId w:val="3"/>
        </w:numPr>
        <w:spacing w:after="0" w:line="240" w:lineRule="auto"/>
        <w:contextualSpacing/>
        <w:rPr>
          <w:rFonts w:ascii="Times New Roman" w:eastAsiaTheme="minorHAnsi" w:hAnsi="Times New Roman"/>
          <w:color w:val="000000" w:themeColor="text1"/>
          <w:sz w:val="32"/>
          <w:szCs w:val="32"/>
        </w:rPr>
      </w:pPr>
      <w:r w:rsidRPr="00047FB0">
        <w:rPr>
          <w:rFonts w:ascii="Times New Roman" w:eastAsiaTheme="minorHAnsi" w:hAnsi="Times New Roman"/>
          <w:color w:val="000000" w:themeColor="text1"/>
          <w:sz w:val="32"/>
          <w:szCs w:val="32"/>
        </w:rPr>
        <w:t xml:space="preserve">Eligible services will be considered for financial assistance up to 240 days from date of </w:t>
      </w:r>
      <w:r w:rsidR="007F0775" w:rsidRPr="00047FB0">
        <w:rPr>
          <w:rFonts w:ascii="Times New Roman" w:eastAsiaTheme="minorHAnsi" w:hAnsi="Times New Roman"/>
          <w:color w:val="000000" w:themeColor="text1"/>
          <w:sz w:val="32"/>
          <w:szCs w:val="32"/>
        </w:rPr>
        <w:t>“first post discharge” billing statement is provided.</w:t>
      </w:r>
      <w:r w:rsidRPr="00047FB0">
        <w:rPr>
          <w:rFonts w:ascii="Times New Roman" w:eastAsiaTheme="minorHAnsi" w:hAnsi="Times New Roman"/>
          <w:color w:val="000000" w:themeColor="text1"/>
          <w:sz w:val="32"/>
          <w:szCs w:val="32"/>
        </w:rPr>
        <w:t xml:space="preserve"> (Some services can be considered beyond the 240 days if determined to be special circumstances Livingston HealthCare). Approval is valid for one year from the date of determination.  This one year time span may go 6 months back and 6 months forward from determination date based on the patient’s circumstances.  Livingston HealthCare reserves the right to re-determine eligibility based on a change in circumstances.</w:t>
      </w:r>
    </w:p>
    <w:p w:rsidR="00FE0895" w:rsidRPr="00047FB0" w:rsidRDefault="00FE0895" w:rsidP="00FE0895">
      <w:pPr>
        <w:spacing w:after="0" w:line="120" w:lineRule="exact"/>
        <w:rPr>
          <w:rFonts w:ascii="Times New Roman" w:eastAsiaTheme="minorHAnsi" w:hAnsi="Times New Roman"/>
          <w:color w:val="000000" w:themeColor="text1"/>
          <w:sz w:val="32"/>
          <w:szCs w:val="32"/>
        </w:rPr>
      </w:pPr>
    </w:p>
    <w:p w:rsidR="00FE0895" w:rsidRPr="00047FB0" w:rsidRDefault="00FE0895" w:rsidP="00FE0895">
      <w:pPr>
        <w:spacing w:after="0" w:line="120" w:lineRule="exact"/>
        <w:ind w:left="1440"/>
        <w:rPr>
          <w:rFonts w:ascii="Times New Roman" w:eastAsiaTheme="minorHAnsi" w:hAnsi="Times New Roman"/>
          <w:color w:val="000000" w:themeColor="text1"/>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color w:val="000000" w:themeColor="text1"/>
          <w:sz w:val="32"/>
          <w:szCs w:val="32"/>
        </w:rPr>
      </w:pPr>
      <w:r w:rsidRPr="00047FB0">
        <w:rPr>
          <w:rFonts w:ascii="Times New Roman" w:eastAsiaTheme="minorHAnsi" w:hAnsi="Times New Roman"/>
          <w:color w:val="000000" w:themeColor="text1"/>
          <w:sz w:val="32"/>
          <w:szCs w:val="32"/>
        </w:rPr>
        <w:t>Health care services, including elective, cosmetic, or other care deemed to be generally non-reimbursable by traditional insurance carriers and government payers shall not be considered eligible for financial assistance. Livingston HealthCare has the option to specify certain additional elective procedures for which no financial assistance options will be given.</w:t>
      </w:r>
      <w:r w:rsidR="00211D1A" w:rsidRPr="00047FB0">
        <w:rPr>
          <w:rFonts w:ascii="Times New Roman" w:eastAsiaTheme="minorHAnsi" w:hAnsi="Times New Roman"/>
          <w:color w:val="000000" w:themeColor="text1"/>
          <w:sz w:val="32"/>
          <w:szCs w:val="32"/>
        </w:rPr>
        <w:t xml:space="preserve">  </w:t>
      </w:r>
    </w:p>
    <w:p w:rsidR="00211D1A" w:rsidRPr="00047FB0" w:rsidRDefault="00211D1A" w:rsidP="00FE0895">
      <w:pPr>
        <w:numPr>
          <w:ilvl w:val="1"/>
          <w:numId w:val="3"/>
        </w:numPr>
        <w:spacing w:after="0" w:line="240" w:lineRule="auto"/>
        <w:contextualSpacing/>
        <w:rPr>
          <w:rFonts w:ascii="Times New Roman" w:eastAsiaTheme="minorHAnsi" w:hAnsi="Times New Roman"/>
          <w:color w:val="000000" w:themeColor="text1"/>
          <w:sz w:val="32"/>
          <w:szCs w:val="32"/>
        </w:rPr>
      </w:pPr>
      <w:r w:rsidRPr="00047FB0">
        <w:rPr>
          <w:rFonts w:ascii="Times New Roman" w:eastAsiaTheme="minorHAnsi" w:hAnsi="Times New Roman"/>
          <w:color w:val="000000" w:themeColor="text1"/>
          <w:sz w:val="32"/>
          <w:szCs w:val="32"/>
        </w:rPr>
        <w:t xml:space="preserve">Professional Services received in the Emergency Department and other dept’s of the hospital are covered under this policy, when the </w:t>
      </w:r>
      <w:r w:rsidR="0069251E" w:rsidRPr="00047FB0">
        <w:rPr>
          <w:rFonts w:ascii="Times New Roman" w:eastAsiaTheme="minorHAnsi" w:hAnsi="Times New Roman"/>
          <w:color w:val="000000" w:themeColor="text1"/>
          <w:sz w:val="32"/>
          <w:szCs w:val="32"/>
        </w:rPr>
        <w:t>Provider</w:t>
      </w:r>
      <w:r w:rsidRPr="00047FB0">
        <w:rPr>
          <w:rFonts w:ascii="Times New Roman" w:eastAsiaTheme="minorHAnsi" w:hAnsi="Times New Roman"/>
          <w:color w:val="000000" w:themeColor="text1"/>
          <w:sz w:val="32"/>
          <w:szCs w:val="32"/>
        </w:rPr>
        <w:t xml:space="preserve"> is employed by Livingston HealthCare. </w:t>
      </w:r>
      <w:r w:rsidR="005754C9" w:rsidRPr="00047FB0">
        <w:rPr>
          <w:rFonts w:ascii="Times New Roman" w:eastAsiaTheme="minorHAnsi" w:hAnsi="Times New Roman"/>
          <w:color w:val="000000" w:themeColor="text1"/>
          <w:sz w:val="32"/>
          <w:szCs w:val="32"/>
        </w:rPr>
        <w:t>A current list of</w:t>
      </w:r>
      <w:r w:rsidR="0069251E" w:rsidRPr="00047FB0">
        <w:rPr>
          <w:rFonts w:ascii="Times New Roman" w:eastAsiaTheme="minorHAnsi" w:hAnsi="Times New Roman"/>
          <w:color w:val="000000" w:themeColor="text1"/>
          <w:sz w:val="32"/>
          <w:szCs w:val="32"/>
        </w:rPr>
        <w:t xml:space="preserve"> Providers</w:t>
      </w:r>
      <w:r w:rsidR="005754C9" w:rsidRPr="00047FB0">
        <w:rPr>
          <w:rFonts w:ascii="Times New Roman" w:eastAsiaTheme="minorHAnsi" w:hAnsi="Times New Roman"/>
          <w:color w:val="000000" w:themeColor="text1"/>
          <w:sz w:val="32"/>
          <w:szCs w:val="32"/>
        </w:rPr>
        <w:t xml:space="preserve"> will be maintained as an </w:t>
      </w:r>
      <w:r w:rsidR="0083435E" w:rsidRPr="00047FB0">
        <w:rPr>
          <w:rFonts w:ascii="Times New Roman" w:eastAsiaTheme="minorHAnsi" w:hAnsi="Times New Roman"/>
          <w:color w:val="000000" w:themeColor="text1"/>
          <w:sz w:val="32"/>
          <w:szCs w:val="32"/>
        </w:rPr>
        <w:t>attachment</w:t>
      </w:r>
      <w:r w:rsidR="005754C9" w:rsidRPr="00047FB0">
        <w:rPr>
          <w:rFonts w:ascii="Times New Roman" w:eastAsiaTheme="minorHAnsi" w:hAnsi="Times New Roman"/>
          <w:color w:val="000000" w:themeColor="text1"/>
          <w:sz w:val="32"/>
          <w:szCs w:val="32"/>
        </w:rPr>
        <w:t xml:space="preserve"> to this policy. </w:t>
      </w:r>
    </w:p>
    <w:p w:rsidR="00FE0895" w:rsidRPr="00047FB0" w:rsidRDefault="00FE0895" w:rsidP="00FE0895">
      <w:pPr>
        <w:spacing w:after="0" w:line="240" w:lineRule="auto"/>
        <w:ind w:left="1440"/>
        <w:rPr>
          <w:rFonts w:ascii="Times New Roman" w:eastAsiaTheme="minorHAnsi" w:hAnsi="Times New Roman"/>
          <w:color w:val="000000" w:themeColor="text1"/>
          <w:sz w:val="32"/>
          <w:szCs w:val="32"/>
        </w:rPr>
      </w:pPr>
    </w:p>
    <w:p w:rsidR="00FE0895" w:rsidRPr="00047FB0" w:rsidRDefault="00FE0895" w:rsidP="00FE0895">
      <w:pPr>
        <w:numPr>
          <w:ilvl w:val="0"/>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Persons considered under this policy must meet all of the following criteria:</w:t>
      </w:r>
    </w:p>
    <w:p w:rsidR="00FE0895" w:rsidRPr="00047FB0" w:rsidRDefault="00FE0895" w:rsidP="00FE0895">
      <w:pPr>
        <w:spacing w:after="0" w:line="240" w:lineRule="auto"/>
        <w:ind w:left="1800"/>
        <w:contextualSpacing/>
        <w:rPr>
          <w:rFonts w:ascii="Times New Roman" w:eastAsiaTheme="minorHAnsi" w:hAnsi="Times New Roman"/>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The patient must be a resident of Montana, or be an established patient of Livingston HealthCare, and</w:t>
      </w: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Must have exhausted all insurance benefits, and</w:t>
      </w: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Must have exhausted all other third party and financial resources available, to include applying for coverage with the Marketplace offered by the Affordable Care Act, and</w:t>
      </w: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The maximum family income (husband and wife) does not exceed Livingston HealthCare’s standard related to the Federal Poverty Guidelines and there are not sufficient liquid assets (cash on hand, checking and savings accounts) to satisfy Livingston HealthCare bills.</w:t>
      </w:r>
    </w:p>
    <w:p w:rsidR="00FE0895" w:rsidRPr="00047FB0" w:rsidRDefault="00FE0895" w:rsidP="00FE0895">
      <w:pPr>
        <w:spacing w:after="0" w:line="240" w:lineRule="auto"/>
        <w:ind w:left="1440"/>
        <w:rPr>
          <w:rFonts w:ascii="Times New Roman" w:eastAsiaTheme="minorHAnsi" w:hAnsi="Times New Roman"/>
          <w:sz w:val="32"/>
          <w:szCs w:val="32"/>
        </w:rPr>
      </w:pPr>
    </w:p>
    <w:p w:rsidR="00FE0895" w:rsidRPr="00047FB0" w:rsidRDefault="00FE0895" w:rsidP="00FE0895">
      <w:pPr>
        <w:spacing w:after="0" w:line="240" w:lineRule="auto"/>
        <w:ind w:left="1800"/>
        <w:contextualSpacing/>
        <w:rPr>
          <w:rFonts w:ascii="Times New Roman" w:eastAsiaTheme="minorHAnsi" w:hAnsi="Times New Roman"/>
          <w:sz w:val="32"/>
          <w:szCs w:val="32"/>
        </w:rPr>
      </w:pPr>
    </w:p>
    <w:p w:rsidR="00FE0895" w:rsidRPr="00047FB0" w:rsidRDefault="00FE0895" w:rsidP="00FE0895">
      <w:pPr>
        <w:numPr>
          <w:ilvl w:val="0"/>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Initiation of Financial Assistance:</w:t>
      </w:r>
    </w:p>
    <w:p w:rsidR="00FE0895" w:rsidRPr="00047FB0" w:rsidRDefault="00FE0895" w:rsidP="00FE0895">
      <w:pPr>
        <w:spacing w:after="0" w:line="240" w:lineRule="auto"/>
        <w:ind w:left="1080"/>
        <w:contextualSpacing/>
        <w:rPr>
          <w:rFonts w:ascii="Times New Roman" w:eastAsiaTheme="minorHAnsi" w:hAnsi="Times New Roman"/>
          <w:b/>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Financial Assistance may be initiated in a number of ways:</w:t>
      </w:r>
    </w:p>
    <w:p w:rsidR="00FE0895" w:rsidRPr="00047FB0" w:rsidRDefault="00FE0895" w:rsidP="00FE0895">
      <w:pPr>
        <w:numPr>
          <w:ilvl w:val="0"/>
          <w:numId w:val="4"/>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A patient with a self-pay balance due notifies Patient Financial Services representative that he/she cannot afford to pay the bill and requests assistance.</w:t>
      </w:r>
    </w:p>
    <w:p w:rsidR="00FE0895" w:rsidRPr="00047FB0" w:rsidRDefault="00FE0895" w:rsidP="00FE0895">
      <w:pPr>
        <w:numPr>
          <w:ilvl w:val="0"/>
          <w:numId w:val="4"/>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A patient presents at a clinical area without insurance and states that he/she cannot afford to pay the medical expenses associated with their current or previous medical services.</w:t>
      </w:r>
    </w:p>
    <w:p w:rsidR="00FE0895" w:rsidRPr="00047FB0" w:rsidRDefault="00FE0895" w:rsidP="00FE0895">
      <w:pPr>
        <w:numPr>
          <w:ilvl w:val="0"/>
          <w:numId w:val="4"/>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A physician or other clinician refers a patient for financial assistance evaluation.</w:t>
      </w:r>
    </w:p>
    <w:p w:rsidR="00FE0895" w:rsidRPr="00047FB0" w:rsidRDefault="00FE0895" w:rsidP="00FE0895">
      <w:pPr>
        <w:numPr>
          <w:ilvl w:val="0"/>
          <w:numId w:val="4"/>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A financial assistance application is offered to patients as part of the financial counseling process.</w:t>
      </w:r>
    </w:p>
    <w:p w:rsidR="00F450AB" w:rsidRDefault="00F450AB" w:rsidP="00F450AB">
      <w:pPr>
        <w:numPr>
          <w:ilvl w:val="0"/>
          <w:numId w:val="4"/>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Livingston HealthCare will follow 501 (r) regulation guidelines providing reasonable efforts to determine financial assistance eligibility.</w:t>
      </w:r>
    </w:p>
    <w:p w:rsidR="00D63492" w:rsidRPr="00047FB0" w:rsidRDefault="00D63492" w:rsidP="00F450AB">
      <w:pPr>
        <w:numPr>
          <w:ilvl w:val="0"/>
          <w:numId w:val="4"/>
        </w:numPr>
        <w:spacing w:after="0" w:line="240" w:lineRule="auto"/>
        <w:contextualSpacing/>
        <w:rPr>
          <w:rFonts w:ascii="Times New Roman" w:eastAsiaTheme="minorHAnsi" w:hAnsi="Times New Roman"/>
          <w:sz w:val="32"/>
          <w:szCs w:val="32"/>
        </w:rPr>
      </w:pPr>
      <w:r>
        <w:rPr>
          <w:rFonts w:ascii="Times New Roman" w:eastAsiaTheme="minorHAnsi" w:hAnsi="Times New Roman"/>
          <w:sz w:val="32"/>
          <w:szCs w:val="32"/>
        </w:rPr>
        <w:t>A patient presents at Community Health Partners</w:t>
      </w:r>
      <w:r w:rsidR="0080320E">
        <w:rPr>
          <w:rFonts w:ascii="Times New Roman" w:eastAsiaTheme="minorHAnsi" w:hAnsi="Times New Roman"/>
          <w:sz w:val="32"/>
          <w:szCs w:val="32"/>
        </w:rPr>
        <w:t xml:space="preserve">, </w:t>
      </w:r>
      <w:r>
        <w:rPr>
          <w:rFonts w:ascii="Times New Roman" w:eastAsiaTheme="minorHAnsi" w:hAnsi="Times New Roman"/>
          <w:sz w:val="32"/>
          <w:szCs w:val="32"/>
        </w:rPr>
        <w:t xml:space="preserve">provider refers patient for services at Livingston HealthCare. CHP will notify LHC if patient qualifies for CHP sliding fee schedule </w:t>
      </w:r>
      <w:r w:rsidR="005460A5">
        <w:rPr>
          <w:rFonts w:ascii="Times New Roman" w:eastAsiaTheme="minorHAnsi" w:hAnsi="Times New Roman"/>
          <w:sz w:val="32"/>
          <w:szCs w:val="32"/>
        </w:rPr>
        <w:t>charity discount</w:t>
      </w:r>
      <w:r w:rsidR="0080320E">
        <w:rPr>
          <w:rFonts w:ascii="Times New Roman" w:eastAsiaTheme="minorHAnsi" w:hAnsi="Times New Roman"/>
          <w:sz w:val="32"/>
          <w:szCs w:val="32"/>
        </w:rPr>
        <w:t>,</w:t>
      </w:r>
      <w:r w:rsidR="001E79C4">
        <w:rPr>
          <w:rFonts w:ascii="Times New Roman" w:eastAsiaTheme="minorHAnsi" w:hAnsi="Times New Roman"/>
          <w:sz w:val="32"/>
          <w:szCs w:val="32"/>
        </w:rPr>
        <w:t xml:space="preserve"> </w:t>
      </w:r>
      <w:r>
        <w:rPr>
          <w:rFonts w:ascii="Times New Roman" w:eastAsiaTheme="minorHAnsi" w:hAnsi="Times New Roman"/>
          <w:sz w:val="32"/>
          <w:szCs w:val="32"/>
        </w:rPr>
        <w:t xml:space="preserve">or give patient an LHC Financial Assistance packet. </w:t>
      </w:r>
    </w:p>
    <w:p w:rsidR="00FE0895" w:rsidRPr="00047FB0" w:rsidRDefault="00FE0895" w:rsidP="00FE0895">
      <w:pPr>
        <w:spacing w:after="0" w:line="240" w:lineRule="auto"/>
        <w:ind w:left="2160"/>
        <w:rPr>
          <w:rFonts w:ascii="Times New Roman" w:eastAsiaTheme="minorHAnsi" w:hAnsi="Times New Roman"/>
          <w:sz w:val="32"/>
          <w:szCs w:val="32"/>
        </w:rPr>
      </w:pPr>
    </w:p>
    <w:p w:rsidR="00FE0895" w:rsidRPr="00047FB0" w:rsidRDefault="00FE0895" w:rsidP="00FE0895">
      <w:pPr>
        <w:spacing w:after="0" w:line="240" w:lineRule="auto"/>
        <w:ind w:left="2520"/>
        <w:contextualSpacing/>
        <w:rPr>
          <w:rFonts w:ascii="Times New Roman" w:eastAsiaTheme="minorHAnsi" w:hAnsi="Times New Roman"/>
          <w:sz w:val="32"/>
          <w:szCs w:val="32"/>
        </w:rPr>
      </w:pPr>
    </w:p>
    <w:p w:rsidR="00FE0895" w:rsidRPr="00047FB0" w:rsidRDefault="00FE0895" w:rsidP="00FE0895">
      <w:pPr>
        <w:numPr>
          <w:ilvl w:val="0"/>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Application Process</w:t>
      </w:r>
    </w:p>
    <w:p w:rsidR="00FE0895" w:rsidRPr="00047FB0" w:rsidRDefault="00FE0895" w:rsidP="00FE0895">
      <w:pPr>
        <w:spacing w:after="0" w:line="240" w:lineRule="auto"/>
        <w:ind w:left="1080"/>
        <w:contextualSpacing/>
        <w:rPr>
          <w:rFonts w:ascii="Times New Roman" w:eastAsiaTheme="minorHAnsi" w:hAnsi="Times New Roman"/>
          <w:b/>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A Financial Counselor is a designated person at Livingston HealthCare who will be responsible for taking financial assistance applications. Anyone requesting financial assistance should be referred to a Financial Counselor for an initial screening for eligibility.</w:t>
      </w:r>
    </w:p>
    <w:p w:rsidR="00FE0895" w:rsidRPr="00047FB0" w:rsidRDefault="00FE0895" w:rsidP="00FE0895">
      <w:pPr>
        <w:spacing w:after="0" w:line="240" w:lineRule="auto"/>
        <w:ind w:left="1800"/>
        <w:contextualSpacing/>
        <w:rPr>
          <w:rFonts w:ascii="Times New Roman" w:eastAsiaTheme="minorHAnsi" w:hAnsi="Times New Roman"/>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 xml:space="preserve">The patient and/or Responsible </w:t>
      </w:r>
      <w:r w:rsidR="005460A5" w:rsidRPr="00047FB0">
        <w:rPr>
          <w:rFonts w:ascii="Times New Roman" w:eastAsiaTheme="minorHAnsi" w:hAnsi="Times New Roman"/>
          <w:b/>
          <w:sz w:val="32"/>
          <w:szCs w:val="32"/>
        </w:rPr>
        <w:t>Party is</w:t>
      </w:r>
      <w:r w:rsidRPr="00047FB0">
        <w:rPr>
          <w:rFonts w:ascii="Times New Roman" w:eastAsiaTheme="minorHAnsi" w:hAnsi="Times New Roman"/>
          <w:b/>
          <w:sz w:val="32"/>
          <w:szCs w:val="32"/>
        </w:rPr>
        <w:t xml:space="preserve"> required to provide the following:</w:t>
      </w:r>
    </w:p>
    <w:p w:rsidR="00FE0895" w:rsidRPr="00047FB0" w:rsidRDefault="00FE0895" w:rsidP="00FE0895">
      <w:pPr>
        <w:spacing w:after="0" w:line="240" w:lineRule="auto"/>
        <w:rPr>
          <w:rFonts w:ascii="Times New Roman" w:eastAsiaTheme="minorHAnsi" w:hAnsi="Times New Roman"/>
          <w:b/>
          <w:sz w:val="32"/>
          <w:szCs w:val="32"/>
        </w:rPr>
      </w:pPr>
    </w:p>
    <w:p w:rsidR="00FE0895" w:rsidRPr="00047FB0" w:rsidRDefault="00FE0895" w:rsidP="00FE0895">
      <w:pPr>
        <w:numPr>
          <w:ilvl w:val="0"/>
          <w:numId w:val="5"/>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A completed, legible financial assistance application</w:t>
      </w:r>
    </w:p>
    <w:p w:rsidR="00FE0895" w:rsidRPr="00047FB0" w:rsidRDefault="00FE0895" w:rsidP="00FE0895">
      <w:pPr>
        <w:numPr>
          <w:ilvl w:val="0"/>
          <w:numId w:val="5"/>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A copy of patient’s recent federal income tax return. If married and filing separately, the patient should also supply the spouse’s tax return</w:t>
      </w:r>
    </w:p>
    <w:p w:rsidR="00FE0895" w:rsidRPr="00047FB0" w:rsidRDefault="00FE0895" w:rsidP="00FE0895">
      <w:pPr>
        <w:numPr>
          <w:ilvl w:val="0"/>
          <w:numId w:val="5"/>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A copy of the three (3) most recent pay stubs if employed or other evidence of income (and spouse’s if applicable).</w:t>
      </w:r>
    </w:p>
    <w:p w:rsidR="00FE0895" w:rsidRPr="00047FB0" w:rsidRDefault="00FE0895" w:rsidP="00FE0895">
      <w:pPr>
        <w:numPr>
          <w:ilvl w:val="0"/>
          <w:numId w:val="5"/>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Copy of the past three months bank statements (savings and checking)</w:t>
      </w:r>
    </w:p>
    <w:p w:rsidR="00FE0895" w:rsidRPr="00047FB0" w:rsidRDefault="00FE0895" w:rsidP="00FE0895">
      <w:pPr>
        <w:numPr>
          <w:ilvl w:val="0"/>
          <w:numId w:val="5"/>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Proof of US citizenship or permanent residence status</w:t>
      </w:r>
      <w:r w:rsidR="007E5F22" w:rsidRPr="00047FB0">
        <w:rPr>
          <w:rFonts w:ascii="Times New Roman" w:eastAsiaTheme="minorHAnsi" w:hAnsi="Times New Roman"/>
          <w:sz w:val="32"/>
          <w:szCs w:val="32"/>
        </w:rPr>
        <w:t xml:space="preserve"> </w:t>
      </w:r>
      <w:r w:rsidR="005460A5" w:rsidRPr="00047FB0">
        <w:rPr>
          <w:rFonts w:ascii="Times New Roman" w:eastAsiaTheme="minorHAnsi" w:hAnsi="Times New Roman"/>
          <w:sz w:val="32"/>
          <w:szCs w:val="32"/>
        </w:rPr>
        <w:t>(utility</w:t>
      </w:r>
      <w:r w:rsidR="007E5F22" w:rsidRPr="00047FB0">
        <w:rPr>
          <w:rFonts w:ascii="Times New Roman" w:eastAsiaTheme="minorHAnsi" w:hAnsi="Times New Roman"/>
          <w:sz w:val="32"/>
          <w:szCs w:val="32"/>
        </w:rPr>
        <w:t xml:space="preserve"> bill, driver license)</w:t>
      </w:r>
    </w:p>
    <w:p w:rsidR="00FE0895" w:rsidRPr="00047FB0" w:rsidRDefault="00FE0895" w:rsidP="00FE0895">
      <w:pPr>
        <w:numPr>
          <w:ilvl w:val="0"/>
          <w:numId w:val="5"/>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An exemption notification from the Marketplace indicating that you were not eligible for assistance for insurance coverage plans offered by the Affordable Healthcare Act (if available)</w:t>
      </w:r>
    </w:p>
    <w:p w:rsidR="00FE0895" w:rsidRPr="00047FB0" w:rsidRDefault="00FE0895" w:rsidP="00FE0895">
      <w:pPr>
        <w:numPr>
          <w:ilvl w:val="0"/>
          <w:numId w:val="5"/>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Written verification from public assistance agencies, such as Medicaid, reflecting denials for eligibility (upon request) and as appropriate</w:t>
      </w:r>
    </w:p>
    <w:p w:rsidR="00FE0895" w:rsidRPr="00047FB0" w:rsidRDefault="00FE0895" w:rsidP="00FE0895">
      <w:pPr>
        <w:numPr>
          <w:ilvl w:val="0"/>
          <w:numId w:val="5"/>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Written verification of denial for unemployment or worker’s compensation benefits (upon request) and as appropriate</w:t>
      </w:r>
    </w:p>
    <w:p w:rsidR="00FE0895" w:rsidRPr="00047FB0" w:rsidRDefault="00FE0895" w:rsidP="00FE0895">
      <w:pPr>
        <w:numPr>
          <w:ilvl w:val="0"/>
          <w:numId w:val="5"/>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Reasonable proof of other declared expenses</w:t>
      </w:r>
    </w:p>
    <w:p w:rsidR="00FE0895" w:rsidRPr="00047FB0" w:rsidRDefault="00FE0895" w:rsidP="00FE0895">
      <w:pPr>
        <w:spacing w:after="0" w:line="240" w:lineRule="auto"/>
        <w:rPr>
          <w:rFonts w:ascii="Times New Roman" w:eastAsiaTheme="minorHAnsi" w:hAnsi="Times New Roman"/>
          <w:sz w:val="32"/>
          <w:szCs w:val="32"/>
        </w:rPr>
      </w:pPr>
    </w:p>
    <w:p w:rsidR="00FE0895" w:rsidRPr="00047FB0" w:rsidRDefault="00FE0895" w:rsidP="00FE0895">
      <w:pPr>
        <w:spacing w:after="0" w:line="240" w:lineRule="auto"/>
        <w:rPr>
          <w:rFonts w:ascii="Times New Roman" w:eastAsiaTheme="minorHAnsi" w:hAnsi="Times New Roman"/>
          <w:sz w:val="32"/>
          <w:szCs w:val="32"/>
        </w:rPr>
      </w:pPr>
    </w:p>
    <w:p w:rsidR="00FE0895" w:rsidRPr="00047FB0" w:rsidRDefault="00FE0895" w:rsidP="00FE0895">
      <w:pPr>
        <w:numPr>
          <w:ilvl w:val="0"/>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Eligibility Determination</w:t>
      </w:r>
    </w:p>
    <w:p w:rsidR="00FE0895" w:rsidRPr="00047FB0" w:rsidRDefault="00FE0895" w:rsidP="00FE0895">
      <w:pPr>
        <w:spacing w:after="0" w:line="240" w:lineRule="auto"/>
        <w:ind w:left="720"/>
        <w:rPr>
          <w:rFonts w:ascii="Times New Roman" w:eastAsiaTheme="minorHAnsi" w:hAnsi="Times New Roman"/>
          <w:b/>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 xml:space="preserve">When considering a financial assistance application, Livingston HealthCare may request the Responsible Party first pursue other resources of payment, including but not limited to obtaining private insurance coverage through the Marketplace as offered by the Affordable Healthcare Act, Medicaid, Supplemental Social Security Income or Disability Income (SSI or SSDI) or other Third Party Payers as appropriate. If the patient is unwilling to pursue other potential </w:t>
      </w:r>
      <w:r w:rsidR="005460A5" w:rsidRPr="00047FB0">
        <w:rPr>
          <w:rFonts w:ascii="Times New Roman" w:eastAsiaTheme="minorHAnsi" w:hAnsi="Times New Roman"/>
          <w:sz w:val="32"/>
          <w:szCs w:val="32"/>
        </w:rPr>
        <w:t>Third-Party</w:t>
      </w:r>
      <w:r w:rsidRPr="00047FB0">
        <w:rPr>
          <w:rFonts w:ascii="Times New Roman" w:eastAsiaTheme="minorHAnsi" w:hAnsi="Times New Roman"/>
          <w:sz w:val="32"/>
          <w:szCs w:val="32"/>
        </w:rPr>
        <w:t xml:space="preserve"> Payer sources in a timely manner, Livingston HealthCare will not consider the patient’s request for financial assistance.</w:t>
      </w:r>
    </w:p>
    <w:p w:rsidR="00FE0895" w:rsidRPr="00047FB0" w:rsidRDefault="00FE0895" w:rsidP="00FE0895">
      <w:pPr>
        <w:spacing w:after="0" w:line="240" w:lineRule="auto"/>
        <w:ind w:left="1800"/>
        <w:contextualSpacing/>
        <w:rPr>
          <w:rFonts w:ascii="Times New Roman" w:eastAsiaTheme="minorHAnsi" w:hAnsi="Times New Roman"/>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The instructions required to complete the Financial Assistance application will be furnished to the patients and/or the Responsible Party. Livingston HealthCare will provide personnel to assist patients and/or Responsible Party in understanding the criteria for eligibility and how to fill out the application.</w:t>
      </w:r>
    </w:p>
    <w:p w:rsidR="00FE0895" w:rsidRPr="00047FB0" w:rsidRDefault="00FE0895" w:rsidP="00FE0895">
      <w:pPr>
        <w:spacing w:after="0" w:line="240" w:lineRule="auto"/>
        <w:ind w:left="1800"/>
        <w:contextualSpacing/>
        <w:rPr>
          <w:rFonts w:ascii="Times New Roman" w:eastAsiaTheme="minorHAnsi" w:hAnsi="Times New Roman"/>
          <w:sz w:val="32"/>
          <w:szCs w:val="32"/>
        </w:rPr>
      </w:pPr>
    </w:p>
    <w:p w:rsidR="003C2D24" w:rsidRPr="00047FB0" w:rsidRDefault="009951BA" w:rsidP="003C2D24">
      <w:pPr>
        <w:numPr>
          <w:ilvl w:val="1"/>
          <w:numId w:val="3"/>
        </w:numPr>
        <w:spacing w:after="0" w:line="240" w:lineRule="auto"/>
        <w:contextualSpacing/>
        <w:rPr>
          <w:rFonts w:ascii="Times New Roman" w:eastAsiaTheme="minorHAnsi" w:hAnsi="Times New Roman"/>
          <w:color w:val="000000" w:themeColor="text1"/>
          <w:sz w:val="32"/>
          <w:szCs w:val="32"/>
        </w:rPr>
      </w:pPr>
      <w:r w:rsidRPr="00047FB0">
        <w:rPr>
          <w:rFonts w:ascii="Times New Roman" w:eastAsiaTheme="minorHAnsi" w:hAnsi="Times New Roman"/>
          <w:sz w:val="32"/>
          <w:szCs w:val="32"/>
        </w:rPr>
        <w:t xml:space="preserve">The patient or the Responsibility Party will be asked to bring in completed application and requested documentation within 15 business days from receipt of an application for timely processing, but realize that per 501(r ) regulations has up to 240 days from </w:t>
      </w:r>
      <w:r w:rsidRPr="00047FB0">
        <w:rPr>
          <w:rFonts w:ascii="Times New Roman" w:eastAsiaTheme="minorHAnsi" w:hAnsi="Times New Roman"/>
          <w:color w:val="000000" w:themeColor="text1"/>
          <w:sz w:val="32"/>
          <w:szCs w:val="32"/>
        </w:rPr>
        <w:t xml:space="preserve">date </w:t>
      </w:r>
      <w:r w:rsidR="007F0775" w:rsidRPr="00047FB0">
        <w:rPr>
          <w:rFonts w:ascii="Times New Roman" w:eastAsiaTheme="minorHAnsi" w:hAnsi="Times New Roman"/>
          <w:color w:val="000000" w:themeColor="text1"/>
          <w:sz w:val="32"/>
          <w:szCs w:val="32"/>
        </w:rPr>
        <w:t>the first “post-discharge” billing statement is provided to apply for</w:t>
      </w:r>
      <w:r w:rsidRPr="00047FB0">
        <w:rPr>
          <w:rFonts w:ascii="Times New Roman" w:eastAsiaTheme="minorHAnsi" w:hAnsi="Times New Roman"/>
          <w:color w:val="000000" w:themeColor="text1"/>
          <w:sz w:val="32"/>
          <w:szCs w:val="32"/>
        </w:rPr>
        <w:t xml:space="preserve"> Financial Assistance</w:t>
      </w:r>
      <w:r w:rsidR="007F0775" w:rsidRPr="00047FB0">
        <w:rPr>
          <w:rFonts w:ascii="Times New Roman" w:eastAsiaTheme="minorHAnsi" w:hAnsi="Times New Roman"/>
          <w:color w:val="000000" w:themeColor="text1"/>
          <w:sz w:val="32"/>
          <w:szCs w:val="32"/>
        </w:rPr>
        <w:t>.</w:t>
      </w:r>
      <w:r w:rsidRPr="00047FB0">
        <w:rPr>
          <w:rFonts w:ascii="Times New Roman" w:eastAsiaTheme="minorHAnsi" w:hAnsi="Times New Roman"/>
          <w:color w:val="000000" w:themeColor="text1"/>
          <w:sz w:val="32"/>
          <w:szCs w:val="32"/>
        </w:rPr>
        <w:t xml:space="preserve"> </w:t>
      </w:r>
    </w:p>
    <w:p w:rsidR="003C2D24" w:rsidRPr="00047FB0" w:rsidRDefault="003C2D24" w:rsidP="003C2D24">
      <w:pPr>
        <w:spacing w:after="0" w:line="240" w:lineRule="auto"/>
        <w:ind w:left="1800"/>
        <w:contextualSpacing/>
        <w:rPr>
          <w:rFonts w:ascii="Times New Roman" w:eastAsiaTheme="minorHAnsi" w:hAnsi="Times New Roman"/>
          <w:color w:val="000000" w:themeColor="text1"/>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color w:val="000000" w:themeColor="text1"/>
          <w:sz w:val="32"/>
          <w:szCs w:val="32"/>
        </w:rPr>
        <w:t xml:space="preserve">Once a patient has submitted all the required information, a Financial Counselor will review and analyze the application based on </w:t>
      </w:r>
      <w:r w:rsidRPr="00047FB0">
        <w:rPr>
          <w:rFonts w:ascii="Times New Roman" w:eastAsiaTheme="minorHAnsi" w:hAnsi="Times New Roman"/>
          <w:sz w:val="32"/>
          <w:szCs w:val="32"/>
        </w:rPr>
        <w:t>Livingston HealthCare guidelines. If the application is complete and appropriate, the Financial Counselor will recommend the patient’s level of eligibility and process for final authorization</w:t>
      </w:r>
      <w:r w:rsidR="00B7475D" w:rsidRPr="00047FB0">
        <w:rPr>
          <w:rFonts w:ascii="Times New Roman" w:eastAsiaTheme="minorHAnsi" w:hAnsi="Times New Roman"/>
          <w:sz w:val="32"/>
          <w:szCs w:val="32"/>
        </w:rPr>
        <w:t>.</w:t>
      </w:r>
    </w:p>
    <w:p w:rsidR="00FE0895" w:rsidRPr="00047FB0" w:rsidRDefault="00FE0895" w:rsidP="00FE0895">
      <w:pPr>
        <w:spacing w:after="0" w:line="240" w:lineRule="auto"/>
        <w:ind w:left="720"/>
        <w:contextualSpacing/>
        <w:rPr>
          <w:rFonts w:ascii="Times New Roman" w:eastAsiaTheme="minorHAnsi" w:hAnsi="Times New Roman"/>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 xml:space="preserve">If Livingston HealthCare determines that any material documentation or information submitted is untrue or falsified, the application will be denied. </w:t>
      </w:r>
    </w:p>
    <w:p w:rsidR="00FE0895" w:rsidRPr="00047FB0" w:rsidRDefault="00FE0895" w:rsidP="00FE0895">
      <w:pPr>
        <w:spacing w:after="0" w:line="240" w:lineRule="auto"/>
        <w:ind w:left="1440"/>
        <w:rPr>
          <w:rFonts w:ascii="Times New Roman" w:eastAsiaTheme="minorHAnsi" w:hAnsi="Times New Roman"/>
          <w:sz w:val="32"/>
          <w:szCs w:val="32"/>
        </w:rPr>
      </w:pPr>
    </w:p>
    <w:p w:rsidR="00FE0895" w:rsidRPr="00047FB0" w:rsidRDefault="00FE0895" w:rsidP="00FE0895">
      <w:pPr>
        <w:spacing w:after="0" w:line="240" w:lineRule="auto"/>
        <w:ind w:left="1800"/>
        <w:contextualSpacing/>
        <w:rPr>
          <w:rFonts w:ascii="Times New Roman" w:eastAsiaTheme="minorHAnsi" w:hAnsi="Times New Roman"/>
          <w:sz w:val="32"/>
          <w:szCs w:val="32"/>
        </w:rPr>
      </w:pPr>
    </w:p>
    <w:p w:rsidR="00FE0895" w:rsidRPr="00047FB0" w:rsidRDefault="00FE0895" w:rsidP="00FE0895">
      <w:pPr>
        <w:numPr>
          <w:ilvl w:val="0"/>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 xml:space="preserve">Basis for Determination of Patient Responsible </w:t>
      </w:r>
      <w:r w:rsidR="005460A5" w:rsidRPr="00047FB0">
        <w:rPr>
          <w:rFonts w:ascii="Times New Roman" w:eastAsiaTheme="minorHAnsi" w:hAnsi="Times New Roman"/>
          <w:b/>
          <w:sz w:val="32"/>
          <w:szCs w:val="32"/>
        </w:rPr>
        <w:t>Amount:</w:t>
      </w:r>
    </w:p>
    <w:p w:rsidR="00B7475D" w:rsidRPr="00047FB0" w:rsidRDefault="00B7475D" w:rsidP="00B7475D">
      <w:pPr>
        <w:spacing w:after="0" w:line="240" w:lineRule="auto"/>
        <w:ind w:left="1080"/>
        <w:contextualSpacing/>
        <w:rPr>
          <w:rFonts w:ascii="Times New Roman" w:eastAsiaTheme="minorHAnsi" w:hAnsi="Times New Roman"/>
          <w:b/>
          <w:sz w:val="32"/>
          <w:szCs w:val="32"/>
        </w:rPr>
      </w:pPr>
    </w:p>
    <w:p w:rsidR="008A4026" w:rsidRPr="00047FB0" w:rsidRDefault="008A4026" w:rsidP="008A4026">
      <w:pPr>
        <w:pStyle w:val="ListParagraph"/>
        <w:shd w:val="clear" w:color="auto" w:fill="FFFFFF"/>
        <w:spacing w:before="100" w:beforeAutospacing="1" w:after="240" w:line="336" w:lineRule="atLeast"/>
        <w:ind w:left="420"/>
        <w:rPr>
          <w:rFonts w:ascii="Times New Roman" w:eastAsia="Times New Roman" w:hAnsi="Times New Roman"/>
          <w:sz w:val="32"/>
          <w:szCs w:val="32"/>
        </w:rPr>
      </w:pPr>
      <w:r w:rsidRPr="00047FB0">
        <w:rPr>
          <w:rFonts w:ascii="Times New Roman" w:eastAsia="Times New Roman" w:hAnsi="Times New Roman"/>
          <w:sz w:val="32"/>
          <w:szCs w:val="32"/>
        </w:rPr>
        <w:t>1.      Livingston HealthCare will determine “Amount Generally Billed” (AGB)</w:t>
      </w:r>
      <w:bookmarkStart w:id="1" w:name="_ftnref17"/>
      <w:bookmarkEnd w:id="1"/>
      <w:r w:rsidR="006A64B3" w:rsidRPr="00047FB0">
        <w:rPr>
          <w:rFonts w:ascii="Times New Roman" w:eastAsia="Times New Roman" w:hAnsi="Times New Roman"/>
          <w:sz w:val="32"/>
          <w:szCs w:val="32"/>
        </w:rPr>
        <w:t>,</w:t>
      </w:r>
      <w:r w:rsidRPr="00047FB0">
        <w:rPr>
          <w:rFonts w:ascii="Times New Roman" w:eastAsia="Times New Roman" w:hAnsi="Times New Roman"/>
          <w:sz w:val="32"/>
          <w:szCs w:val="32"/>
        </w:rPr>
        <w:t xml:space="preserve"> by using the Medicare </w:t>
      </w:r>
      <w:r w:rsidR="006562BE">
        <w:rPr>
          <w:rFonts w:ascii="Times New Roman" w:eastAsia="Times New Roman" w:hAnsi="Times New Roman"/>
          <w:sz w:val="32"/>
          <w:szCs w:val="32"/>
        </w:rPr>
        <w:t xml:space="preserve">Prospective </w:t>
      </w:r>
      <w:r w:rsidRPr="00047FB0">
        <w:rPr>
          <w:rFonts w:ascii="Times New Roman" w:eastAsia="Times New Roman" w:hAnsi="Times New Roman"/>
          <w:sz w:val="32"/>
          <w:szCs w:val="32"/>
        </w:rPr>
        <w:t xml:space="preserve">method as described in CFR Section 1.501(r)-5(b) of the final regulations. For all Emergent and Medically Necessary patient accounts deemed eligible for financial assistance under this policy. </w:t>
      </w:r>
      <w:bookmarkStart w:id="2" w:name="_ftnref18"/>
      <w:bookmarkEnd w:id="2"/>
      <w:r w:rsidRPr="00047FB0">
        <w:rPr>
          <w:rFonts w:ascii="Times New Roman" w:eastAsia="Times New Roman" w:hAnsi="Times New Roman"/>
          <w:sz w:val="32"/>
          <w:szCs w:val="32"/>
        </w:rPr>
        <w:t>Individuals who have been determined to be eligible for financial assistance cannot be charged more than AGB.</w:t>
      </w:r>
      <w:bookmarkStart w:id="3" w:name="_ftnref19"/>
      <w:bookmarkEnd w:id="3"/>
      <w:r w:rsidRPr="00047FB0">
        <w:rPr>
          <w:rFonts w:ascii="Times New Roman" w:eastAsia="Times New Roman" w:hAnsi="Times New Roman"/>
          <w:sz w:val="32"/>
          <w:szCs w:val="32"/>
        </w:rPr>
        <w:t xml:space="preserve"> The</w:t>
      </w:r>
      <w:r w:rsidR="00741C2D" w:rsidRPr="00047FB0">
        <w:rPr>
          <w:rFonts w:ascii="Times New Roman" w:eastAsia="Times New Roman" w:hAnsi="Times New Roman"/>
          <w:sz w:val="32"/>
          <w:szCs w:val="32"/>
        </w:rPr>
        <w:t xml:space="preserve"> most current</w:t>
      </w:r>
      <w:r w:rsidRPr="00047FB0">
        <w:rPr>
          <w:rFonts w:ascii="Times New Roman" w:eastAsia="Times New Roman" w:hAnsi="Times New Roman"/>
          <w:sz w:val="32"/>
          <w:szCs w:val="32"/>
        </w:rPr>
        <w:t xml:space="preserve"> CMS Medicare rates calculated on cost</w:t>
      </w:r>
      <w:r w:rsidR="00741C2D" w:rsidRPr="00047FB0">
        <w:rPr>
          <w:rFonts w:ascii="Times New Roman" w:eastAsia="Times New Roman" w:hAnsi="Times New Roman"/>
          <w:sz w:val="32"/>
          <w:szCs w:val="32"/>
        </w:rPr>
        <w:t xml:space="preserve"> for</w:t>
      </w:r>
      <w:r w:rsidRPr="00047FB0">
        <w:rPr>
          <w:rFonts w:ascii="Times New Roman" w:eastAsia="Times New Roman" w:hAnsi="Times New Roman"/>
          <w:sz w:val="32"/>
          <w:szCs w:val="32"/>
        </w:rPr>
        <w:t xml:space="preserve"> Livingston HealthCare</w:t>
      </w:r>
      <w:r w:rsidR="006562BE">
        <w:rPr>
          <w:rFonts w:ascii="Times New Roman" w:eastAsia="Times New Roman" w:hAnsi="Times New Roman"/>
          <w:sz w:val="32"/>
          <w:szCs w:val="32"/>
        </w:rPr>
        <w:t>.</w:t>
      </w:r>
      <w:r w:rsidR="006A64B3" w:rsidRPr="00047FB0">
        <w:rPr>
          <w:rFonts w:ascii="Times New Roman" w:eastAsia="Times New Roman" w:hAnsi="Times New Roman"/>
          <w:sz w:val="32"/>
          <w:szCs w:val="32"/>
        </w:rPr>
        <w:t xml:space="preserve"> The AGB discount will be figured on Gross Charges.</w:t>
      </w:r>
      <w:r w:rsidR="00B7475D" w:rsidRPr="00047FB0">
        <w:rPr>
          <w:rFonts w:ascii="Times New Roman" w:eastAsia="Times New Roman" w:hAnsi="Times New Roman"/>
          <w:sz w:val="32"/>
          <w:szCs w:val="32"/>
        </w:rPr>
        <w:t xml:space="preserve"> </w:t>
      </w:r>
    </w:p>
    <w:p w:rsidR="008A4026" w:rsidRPr="00047FB0" w:rsidRDefault="008A4026" w:rsidP="008A4026">
      <w:pPr>
        <w:pStyle w:val="ListParagraph"/>
        <w:numPr>
          <w:ilvl w:val="0"/>
          <w:numId w:val="7"/>
        </w:numPr>
        <w:shd w:val="clear" w:color="auto" w:fill="FFFFFF"/>
        <w:spacing w:before="100" w:beforeAutospacing="1" w:after="240" w:line="336" w:lineRule="atLeast"/>
        <w:rPr>
          <w:rFonts w:ascii="Times New Roman" w:hAnsi="Times New Roman"/>
          <w:sz w:val="32"/>
          <w:szCs w:val="32"/>
        </w:rPr>
      </w:pPr>
      <w:r w:rsidRPr="00047FB0">
        <w:rPr>
          <w:rFonts w:ascii="Times New Roman" w:eastAsia="Times New Roman" w:hAnsi="Times New Roman"/>
          <w:sz w:val="32"/>
          <w:szCs w:val="32"/>
        </w:rPr>
        <w:t>Partial assistance may be provided as a percentage of the AGB based upon where the application falls on the Federal Poverty Guidelines between 100% and 200% of income.</w:t>
      </w:r>
    </w:p>
    <w:p w:rsidR="00B7475D" w:rsidRPr="00047FB0" w:rsidRDefault="00B7475D" w:rsidP="00B7475D">
      <w:pPr>
        <w:pStyle w:val="ListParagraph"/>
        <w:shd w:val="clear" w:color="auto" w:fill="FFFFFF"/>
        <w:spacing w:before="100" w:beforeAutospacing="1" w:after="240" w:line="336" w:lineRule="atLeast"/>
        <w:rPr>
          <w:rFonts w:ascii="Times New Roman" w:hAnsi="Times New Roman"/>
          <w:color w:val="FF0000"/>
          <w:sz w:val="32"/>
          <w:szCs w:val="32"/>
        </w:rPr>
      </w:pPr>
    </w:p>
    <w:p w:rsidR="008A4026" w:rsidRPr="00047FB0" w:rsidRDefault="008A4026" w:rsidP="008A4026">
      <w:pPr>
        <w:pStyle w:val="ListParagraph"/>
        <w:ind w:left="2520"/>
        <w:rPr>
          <w:rFonts w:ascii="Times New Roman" w:hAnsi="Times New Roman"/>
          <w:color w:val="FF0000"/>
          <w:sz w:val="32"/>
          <w:szCs w:val="32"/>
        </w:rPr>
      </w:pPr>
    </w:p>
    <w:p w:rsidR="008A4026" w:rsidRPr="00047FB0" w:rsidRDefault="008A4026" w:rsidP="008A4026">
      <w:pPr>
        <w:spacing w:after="0" w:line="240" w:lineRule="auto"/>
        <w:ind w:left="2520"/>
        <w:contextualSpacing/>
        <w:rPr>
          <w:rFonts w:ascii="Times New Roman" w:eastAsiaTheme="minorHAnsi" w:hAnsi="Times New Roman"/>
          <w:sz w:val="32"/>
          <w:szCs w:val="32"/>
        </w:rPr>
      </w:pPr>
    </w:p>
    <w:p w:rsidR="00FE0895" w:rsidRPr="00047FB0" w:rsidRDefault="00FE0895" w:rsidP="00FE0895">
      <w:pPr>
        <w:spacing w:after="0" w:line="240" w:lineRule="auto"/>
        <w:ind w:left="2520"/>
        <w:contextualSpacing/>
        <w:rPr>
          <w:rFonts w:ascii="Times New Roman" w:eastAsiaTheme="minorHAnsi" w:hAnsi="Times New Roman"/>
          <w:sz w:val="32"/>
          <w:szCs w:val="32"/>
        </w:rPr>
      </w:pPr>
    </w:p>
    <w:p w:rsidR="00FE0895" w:rsidRPr="00047FB0" w:rsidRDefault="00FE0895" w:rsidP="00FE0895">
      <w:pPr>
        <w:spacing w:after="0" w:line="240" w:lineRule="auto"/>
        <w:ind w:left="2520"/>
        <w:contextualSpacing/>
        <w:rPr>
          <w:rFonts w:ascii="Times New Roman" w:eastAsiaTheme="minorHAnsi" w:hAnsi="Times New Roman"/>
          <w:sz w:val="32"/>
          <w:szCs w:val="32"/>
        </w:rPr>
      </w:pPr>
    </w:p>
    <w:p w:rsidR="00FE0895" w:rsidRPr="00047FB0" w:rsidRDefault="00FE0895" w:rsidP="00FE0895">
      <w:pPr>
        <w:numPr>
          <w:ilvl w:val="0"/>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Communication of Financial Assistance</w:t>
      </w:r>
    </w:p>
    <w:p w:rsidR="00FE0895" w:rsidRPr="00047FB0" w:rsidRDefault="00FE0895" w:rsidP="00FE0895">
      <w:pPr>
        <w:spacing w:after="0" w:line="240" w:lineRule="auto"/>
        <w:ind w:left="1080"/>
        <w:rPr>
          <w:rFonts w:ascii="Times New Roman" w:eastAsiaTheme="minorHAnsi" w:hAnsi="Times New Roman"/>
          <w:sz w:val="32"/>
          <w:szCs w:val="32"/>
        </w:rPr>
      </w:pPr>
    </w:p>
    <w:p w:rsidR="00FE0895" w:rsidRPr="00047FB0" w:rsidRDefault="00FE0895" w:rsidP="00FE0895">
      <w:pPr>
        <w:spacing w:after="0" w:line="240" w:lineRule="auto"/>
        <w:ind w:left="1080"/>
        <w:rPr>
          <w:rFonts w:ascii="Times New Roman" w:eastAsiaTheme="minorHAnsi" w:hAnsi="Times New Roman"/>
          <w:sz w:val="32"/>
          <w:szCs w:val="32"/>
        </w:rPr>
      </w:pPr>
      <w:r w:rsidRPr="00047FB0">
        <w:rPr>
          <w:rFonts w:ascii="Times New Roman" w:eastAsiaTheme="minorHAnsi" w:hAnsi="Times New Roman"/>
          <w:sz w:val="32"/>
          <w:szCs w:val="32"/>
        </w:rPr>
        <w:t>Communication of the availability of financial assistance from Livingston HealthCare shall be provided by various means, which may include, but is not limited to notification on patient statements, posted notices in registration sites within the facility and patient financial service areas,</w:t>
      </w:r>
      <w:r w:rsidR="005460A5">
        <w:rPr>
          <w:rFonts w:ascii="Times New Roman" w:eastAsiaTheme="minorHAnsi" w:hAnsi="Times New Roman"/>
          <w:sz w:val="32"/>
          <w:szCs w:val="32"/>
        </w:rPr>
        <w:t xml:space="preserve"> </w:t>
      </w:r>
      <w:r w:rsidRPr="00047FB0">
        <w:rPr>
          <w:rFonts w:ascii="Times New Roman" w:eastAsiaTheme="minorHAnsi" w:hAnsi="Times New Roman"/>
          <w:sz w:val="32"/>
          <w:szCs w:val="32"/>
        </w:rPr>
        <w:t>on the Livingston HealthCare website</w:t>
      </w:r>
      <w:r w:rsidR="005460A5">
        <w:rPr>
          <w:rFonts w:ascii="Times New Roman" w:eastAsiaTheme="minorHAnsi" w:hAnsi="Times New Roman"/>
          <w:sz w:val="32"/>
          <w:szCs w:val="32"/>
        </w:rPr>
        <w:t xml:space="preserve">, </w:t>
      </w:r>
      <w:r w:rsidR="006562BE">
        <w:rPr>
          <w:rFonts w:ascii="Times New Roman" w:eastAsiaTheme="minorHAnsi" w:hAnsi="Times New Roman"/>
          <w:sz w:val="32"/>
          <w:szCs w:val="32"/>
        </w:rPr>
        <w:t>Physician referral,</w:t>
      </w:r>
      <w:r w:rsidR="005460A5">
        <w:rPr>
          <w:rFonts w:ascii="Times New Roman" w:eastAsiaTheme="minorHAnsi" w:hAnsi="Times New Roman"/>
          <w:sz w:val="32"/>
          <w:szCs w:val="32"/>
        </w:rPr>
        <w:t xml:space="preserve"> community Health Fairs</w:t>
      </w:r>
      <w:r w:rsidR="006562BE">
        <w:rPr>
          <w:rFonts w:ascii="Times New Roman" w:eastAsiaTheme="minorHAnsi" w:hAnsi="Times New Roman"/>
          <w:sz w:val="32"/>
          <w:szCs w:val="32"/>
        </w:rPr>
        <w:t xml:space="preserve"> and Farmers Markets.</w:t>
      </w:r>
      <w:r w:rsidR="005460A5">
        <w:rPr>
          <w:rFonts w:ascii="Times New Roman" w:eastAsiaTheme="minorHAnsi" w:hAnsi="Times New Roman"/>
          <w:sz w:val="32"/>
          <w:szCs w:val="32"/>
        </w:rPr>
        <w:t xml:space="preserve"> Community Health Partners, </w:t>
      </w:r>
      <w:r w:rsidR="00677731">
        <w:rPr>
          <w:rFonts w:ascii="Times New Roman" w:eastAsiaTheme="minorHAnsi" w:hAnsi="Times New Roman"/>
          <w:sz w:val="32"/>
          <w:szCs w:val="32"/>
        </w:rPr>
        <w:t xml:space="preserve">(which is </w:t>
      </w:r>
      <w:r w:rsidR="005460A5">
        <w:rPr>
          <w:rFonts w:ascii="Times New Roman" w:eastAsiaTheme="minorHAnsi" w:hAnsi="Times New Roman"/>
          <w:sz w:val="32"/>
          <w:szCs w:val="32"/>
        </w:rPr>
        <w:t>a separate entity from Livingston HealthCare.</w:t>
      </w:r>
      <w:r w:rsidR="00677731">
        <w:rPr>
          <w:rFonts w:ascii="Times New Roman" w:eastAsiaTheme="minorHAnsi" w:hAnsi="Times New Roman"/>
          <w:sz w:val="32"/>
          <w:szCs w:val="32"/>
        </w:rPr>
        <w:t>)</w:t>
      </w:r>
      <w:r w:rsidR="005460A5">
        <w:rPr>
          <w:rFonts w:ascii="Times New Roman" w:eastAsiaTheme="minorHAnsi" w:hAnsi="Times New Roman"/>
          <w:sz w:val="32"/>
          <w:szCs w:val="32"/>
        </w:rPr>
        <w:t xml:space="preserve"> </w:t>
      </w:r>
    </w:p>
    <w:p w:rsidR="00FE0895" w:rsidRPr="00047FB0" w:rsidRDefault="00FE0895" w:rsidP="00FE0895">
      <w:pPr>
        <w:spacing w:after="0" w:line="240" w:lineRule="auto"/>
        <w:ind w:left="1080"/>
        <w:rPr>
          <w:rFonts w:ascii="Times New Roman" w:eastAsiaTheme="minorHAnsi" w:hAnsi="Times New Roman"/>
          <w:sz w:val="32"/>
          <w:szCs w:val="32"/>
        </w:rPr>
      </w:pPr>
    </w:p>
    <w:p w:rsidR="00FE0895" w:rsidRPr="00047FB0" w:rsidRDefault="00FE0895" w:rsidP="00FE0895">
      <w:pPr>
        <w:spacing w:after="0" w:line="240" w:lineRule="auto"/>
        <w:ind w:left="1080"/>
        <w:rPr>
          <w:rFonts w:ascii="Times New Roman" w:eastAsiaTheme="minorHAnsi" w:hAnsi="Times New Roman"/>
          <w:sz w:val="32"/>
          <w:szCs w:val="32"/>
        </w:rPr>
      </w:pPr>
    </w:p>
    <w:p w:rsidR="00FE0895" w:rsidRPr="00047FB0" w:rsidRDefault="00FE0895" w:rsidP="00FE0895">
      <w:pPr>
        <w:spacing w:after="0" w:line="240" w:lineRule="auto"/>
        <w:ind w:left="1080"/>
        <w:rPr>
          <w:rFonts w:ascii="Times New Roman" w:eastAsiaTheme="minorHAnsi" w:hAnsi="Times New Roman"/>
          <w:sz w:val="32"/>
          <w:szCs w:val="32"/>
        </w:rPr>
      </w:pPr>
    </w:p>
    <w:p w:rsidR="00FE0895" w:rsidRPr="00047FB0" w:rsidRDefault="00FE0895" w:rsidP="00FE0895">
      <w:pPr>
        <w:spacing w:after="0" w:line="240" w:lineRule="auto"/>
        <w:rPr>
          <w:rFonts w:ascii="Times New Roman" w:eastAsiaTheme="minorHAnsi" w:hAnsi="Times New Roman"/>
          <w:sz w:val="32"/>
          <w:szCs w:val="32"/>
        </w:rPr>
      </w:pPr>
    </w:p>
    <w:p w:rsidR="00FE0895" w:rsidRPr="00047FB0" w:rsidRDefault="00FE0895" w:rsidP="00FE0895">
      <w:pPr>
        <w:numPr>
          <w:ilvl w:val="0"/>
          <w:numId w:val="3"/>
        </w:numPr>
        <w:spacing w:after="0" w:line="240" w:lineRule="auto"/>
        <w:contextualSpacing/>
        <w:rPr>
          <w:rFonts w:ascii="Times New Roman" w:eastAsiaTheme="minorHAnsi" w:hAnsi="Times New Roman"/>
          <w:b/>
          <w:sz w:val="32"/>
          <w:szCs w:val="32"/>
        </w:rPr>
      </w:pPr>
      <w:r w:rsidRPr="00047FB0">
        <w:rPr>
          <w:rFonts w:ascii="Times New Roman" w:eastAsiaTheme="minorHAnsi" w:hAnsi="Times New Roman"/>
          <w:b/>
          <w:sz w:val="32"/>
          <w:szCs w:val="32"/>
        </w:rPr>
        <w:t>Miscellaneous</w:t>
      </w:r>
    </w:p>
    <w:p w:rsidR="00FE0895" w:rsidRPr="00047FB0" w:rsidRDefault="00FE0895" w:rsidP="00FE0895">
      <w:pPr>
        <w:spacing w:after="0" w:line="240" w:lineRule="auto"/>
        <w:ind w:left="720"/>
        <w:rPr>
          <w:rFonts w:ascii="Times New Roman" w:eastAsiaTheme="minorHAnsi" w:hAnsi="Times New Roman"/>
          <w:b/>
          <w:sz w:val="32"/>
          <w:szCs w:val="32"/>
        </w:rPr>
      </w:pPr>
    </w:p>
    <w:p w:rsidR="00FE0895" w:rsidRPr="00047FB0" w:rsidRDefault="00FE0895" w:rsidP="00FE0895">
      <w:pPr>
        <w:spacing w:after="0" w:line="240" w:lineRule="auto"/>
        <w:ind w:left="1080"/>
        <w:contextualSpacing/>
        <w:rPr>
          <w:rFonts w:ascii="Times New Roman" w:eastAsiaTheme="minorHAnsi" w:hAnsi="Times New Roman"/>
          <w:b/>
          <w:sz w:val="32"/>
          <w:szCs w:val="32"/>
        </w:rPr>
      </w:pPr>
    </w:p>
    <w:p w:rsidR="001030FC" w:rsidRPr="00047FB0" w:rsidRDefault="00FE0895" w:rsidP="001030FC">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 xml:space="preserve">Once a patient is approved for financial assistance, it is expected that the patient will continue to </w:t>
      </w:r>
      <w:r w:rsidRPr="00047FB0">
        <w:rPr>
          <w:rFonts w:ascii="Times New Roman" w:eastAsiaTheme="minorHAnsi" w:hAnsi="Times New Roman"/>
          <w:b/>
          <w:sz w:val="32"/>
          <w:szCs w:val="32"/>
        </w:rPr>
        <w:t>meet his/her required financial commitments</w:t>
      </w:r>
      <w:r w:rsidRPr="00047FB0">
        <w:rPr>
          <w:rFonts w:ascii="Times New Roman" w:eastAsiaTheme="minorHAnsi" w:hAnsi="Times New Roman"/>
          <w:sz w:val="32"/>
          <w:szCs w:val="32"/>
        </w:rPr>
        <w:t xml:space="preserve"> to Livingston HealthCare. If the patient does not make the expected payment for their remaining patient responsibility</w:t>
      </w:r>
      <w:r w:rsidR="00A95778">
        <w:rPr>
          <w:rFonts w:ascii="Times New Roman" w:eastAsiaTheme="minorHAnsi" w:hAnsi="Times New Roman"/>
          <w:sz w:val="32"/>
          <w:szCs w:val="32"/>
        </w:rPr>
        <w:t xml:space="preserve">, </w:t>
      </w:r>
      <w:r w:rsidRPr="00047FB0">
        <w:rPr>
          <w:rFonts w:ascii="Times New Roman" w:eastAsiaTheme="minorHAnsi" w:hAnsi="Times New Roman"/>
          <w:sz w:val="32"/>
          <w:szCs w:val="32"/>
        </w:rPr>
        <w:t>the</w:t>
      </w:r>
      <w:r w:rsidR="00A95778">
        <w:rPr>
          <w:rFonts w:ascii="Times New Roman" w:eastAsiaTheme="minorHAnsi" w:hAnsi="Times New Roman"/>
          <w:sz w:val="32"/>
          <w:szCs w:val="32"/>
        </w:rPr>
        <w:t xml:space="preserve"> account</w:t>
      </w:r>
      <w:r w:rsidRPr="00047FB0">
        <w:rPr>
          <w:rFonts w:ascii="Times New Roman" w:eastAsiaTheme="minorHAnsi" w:hAnsi="Times New Roman"/>
          <w:sz w:val="32"/>
          <w:szCs w:val="32"/>
        </w:rPr>
        <w:t xml:space="preserve"> </w:t>
      </w:r>
      <w:r w:rsidR="00A95778">
        <w:rPr>
          <w:rFonts w:ascii="Times New Roman" w:eastAsiaTheme="minorHAnsi" w:hAnsi="Times New Roman"/>
          <w:sz w:val="32"/>
          <w:szCs w:val="32"/>
        </w:rPr>
        <w:t xml:space="preserve">will go </w:t>
      </w:r>
      <w:r w:rsidR="00E55D54">
        <w:rPr>
          <w:rFonts w:ascii="Times New Roman" w:eastAsiaTheme="minorHAnsi" w:hAnsi="Times New Roman"/>
          <w:sz w:val="32"/>
          <w:szCs w:val="32"/>
        </w:rPr>
        <w:t xml:space="preserve">through the </w:t>
      </w:r>
      <w:r w:rsidRPr="00047FB0">
        <w:rPr>
          <w:rFonts w:ascii="Times New Roman" w:eastAsiaTheme="minorHAnsi" w:hAnsi="Times New Roman"/>
          <w:sz w:val="32"/>
          <w:szCs w:val="32"/>
        </w:rPr>
        <w:t>collection process</w:t>
      </w:r>
      <w:r w:rsidR="00E55D54">
        <w:rPr>
          <w:rFonts w:ascii="Times New Roman" w:eastAsiaTheme="minorHAnsi" w:hAnsi="Times New Roman"/>
          <w:sz w:val="32"/>
          <w:szCs w:val="32"/>
        </w:rPr>
        <w:t xml:space="preserve">, as outlined in </w:t>
      </w:r>
      <w:r w:rsidR="001030FC" w:rsidRPr="00047FB0">
        <w:rPr>
          <w:rFonts w:ascii="Times New Roman" w:eastAsiaTheme="minorHAnsi" w:hAnsi="Times New Roman"/>
          <w:sz w:val="32"/>
          <w:szCs w:val="32"/>
        </w:rPr>
        <w:t>Livingston HealthCare Billing and Collections Policy</w:t>
      </w:r>
      <w:r w:rsidR="00E55D54">
        <w:rPr>
          <w:rFonts w:ascii="Times New Roman" w:eastAsiaTheme="minorHAnsi" w:hAnsi="Times New Roman"/>
          <w:sz w:val="32"/>
          <w:szCs w:val="32"/>
        </w:rPr>
        <w:t>, which</w:t>
      </w:r>
      <w:r w:rsidR="001030FC" w:rsidRPr="00047FB0">
        <w:rPr>
          <w:rFonts w:ascii="Times New Roman" w:eastAsiaTheme="minorHAnsi" w:hAnsi="Times New Roman"/>
          <w:sz w:val="32"/>
          <w:szCs w:val="32"/>
        </w:rPr>
        <w:t xml:space="preserve"> is available </w:t>
      </w:r>
      <w:r w:rsidR="00E55D54">
        <w:rPr>
          <w:rFonts w:ascii="Times New Roman" w:eastAsiaTheme="minorHAnsi" w:hAnsi="Times New Roman"/>
          <w:sz w:val="32"/>
          <w:szCs w:val="32"/>
        </w:rPr>
        <w:t xml:space="preserve">on our web site </w:t>
      </w:r>
      <w:hyperlink r:id="rId8" w:history="1">
        <w:r w:rsidR="00E55D54" w:rsidRPr="00A26B46">
          <w:rPr>
            <w:rStyle w:val="Hyperlink"/>
            <w:rFonts w:ascii="Times New Roman" w:eastAsiaTheme="minorHAnsi" w:hAnsi="Times New Roman"/>
            <w:sz w:val="32"/>
            <w:szCs w:val="32"/>
          </w:rPr>
          <w:t>www.livingstonhealthcare.org</w:t>
        </w:r>
      </w:hyperlink>
      <w:r w:rsidR="00E55D54">
        <w:rPr>
          <w:rFonts w:ascii="Times New Roman" w:eastAsiaTheme="minorHAnsi" w:hAnsi="Times New Roman"/>
          <w:sz w:val="32"/>
          <w:szCs w:val="32"/>
        </w:rPr>
        <w:t xml:space="preserve"> or </w:t>
      </w:r>
      <w:r w:rsidR="001030FC" w:rsidRPr="00047FB0">
        <w:rPr>
          <w:rFonts w:ascii="Times New Roman" w:eastAsiaTheme="minorHAnsi" w:hAnsi="Times New Roman"/>
          <w:sz w:val="32"/>
          <w:szCs w:val="32"/>
        </w:rPr>
        <w:t>upon request by contacting PFS office at 406-823-6414.</w:t>
      </w:r>
    </w:p>
    <w:p w:rsidR="00FE0895" w:rsidRPr="00047FB0" w:rsidRDefault="00FE0895" w:rsidP="00FE0895">
      <w:pPr>
        <w:spacing w:after="0" w:line="240" w:lineRule="auto"/>
        <w:rPr>
          <w:rFonts w:ascii="Times New Roman" w:eastAsiaTheme="minorHAnsi" w:hAnsi="Times New Roman"/>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sz w:val="32"/>
          <w:szCs w:val="32"/>
        </w:rPr>
        <w:t xml:space="preserve">A </w:t>
      </w:r>
      <w:r w:rsidRPr="00047FB0">
        <w:rPr>
          <w:rFonts w:ascii="Times New Roman" w:eastAsiaTheme="minorHAnsi" w:hAnsi="Times New Roman"/>
          <w:b/>
          <w:sz w:val="32"/>
          <w:szCs w:val="32"/>
        </w:rPr>
        <w:t>Community Health Partners</w:t>
      </w:r>
      <w:r w:rsidRPr="00047FB0">
        <w:rPr>
          <w:rFonts w:ascii="Times New Roman" w:eastAsiaTheme="minorHAnsi" w:hAnsi="Times New Roman"/>
          <w:sz w:val="32"/>
          <w:szCs w:val="32"/>
        </w:rPr>
        <w:t xml:space="preserve"> referred patient’s account will be calculated on the CHP slide for clinic specialty visits, x-rays, lab and rehab services and all other medically necessary services. A copy of Community Health Partners referral will be kept on file. </w:t>
      </w:r>
      <w:r w:rsidR="00DF3EE4">
        <w:rPr>
          <w:rFonts w:ascii="Times New Roman" w:eastAsiaTheme="minorHAnsi" w:hAnsi="Times New Roman"/>
          <w:sz w:val="32"/>
          <w:szCs w:val="32"/>
        </w:rPr>
        <w:t>CHP will provide and help patient fill out LHC FAP application if a</w:t>
      </w:r>
      <w:r w:rsidRPr="00047FB0">
        <w:rPr>
          <w:rFonts w:ascii="Times New Roman" w:eastAsiaTheme="minorHAnsi" w:hAnsi="Times New Roman"/>
          <w:sz w:val="32"/>
          <w:szCs w:val="32"/>
        </w:rPr>
        <w:t>dditional patient information</w:t>
      </w:r>
      <w:r w:rsidR="00DF3EE4">
        <w:rPr>
          <w:rFonts w:ascii="Times New Roman" w:eastAsiaTheme="minorHAnsi" w:hAnsi="Times New Roman"/>
          <w:sz w:val="32"/>
          <w:szCs w:val="32"/>
        </w:rPr>
        <w:t xml:space="preserve"> is needed, </w:t>
      </w:r>
      <w:r w:rsidRPr="00047FB0">
        <w:rPr>
          <w:rFonts w:ascii="Times New Roman" w:eastAsiaTheme="minorHAnsi" w:hAnsi="Times New Roman"/>
          <w:sz w:val="32"/>
          <w:szCs w:val="32"/>
        </w:rPr>
        <w:t>according to the LHC Financial Assistance policy</w:t>
      </w:r>
      <w:r w:rsidR="00DF3EE4">
        <w:rPr>
          <w:rFonts w:ascii="Times New Roman" w:eastAsiaTheme="minorHAnsi" w:hAnsi="Times New Roman"/>
          <w:sz w:val="32"/>
          <w:szCs w:val="32"/>
        </w:rPr>
        <w:t>. This additional information</w:t>
      </w:r>
      <w:r w:rsidRPr="00047FB0">
        <w:rPr>
          <w:rFonts w:ascii="Times New Roman" w:eastAsiaTheme="minorHAnsi" w:hAnsi="Times New Roman"/>
          <w:sz w:val="32"/>
          <w:szCs w:val="32"/>
        </w:rPr>
        <w:t xml:space="preserve"> may be requested for adjusted patient charges totaling more than $8,000 annually. If additional information is requested and not provided or provided and the financial need is not </w:t>
      </w:r>
      <w:r w:rsidR="005460A5" w:rsidRPr="00047FB0">
        <w:rPr>
          <w:rFonts w:ascii="Times New Roman" w:eastAsiaTheme="minorHAnsi" w:hAnsi="Times New Roman"/>
          <w:sz w:val="32"/>
          <w:szCs w:val="32"/>
        </w:rPr>
        <w:t>verified,</w:t>
      </w:r>
      <w:r w:rsidRPr="00047FB0">
        <w:rPr>
          <w:rFonts w:ascii="Times New Roman" w:eastAsiaTheme="minorHAnsi" w:hAnsi="Times New Roman"/>
          <w:sz w:val="32"/>
          <w:szCs w:val="32"/>
        </w:rPr>
        <w:t xml:space="preserve"> then the patient loses eligibility prospectively.</w:t>
      </w:r>
    </w:p>
    <w:p w:rsidR="00FE0895" w:rsidRPr="00047FB0" w:rsidRDefault="00FE0895" w:rsidP="00FE0895">
      <w:pPr>
        <w:spacing w:after="0" w:line="240" w:lineRule="auto"/>
        <w:rPr>
          <w:rFonts w:ascii="Times New Roman" w:eastAsiaTheme="minorHAnsi" w:hAnsi="Times New Roman"/>
          <w:sz w:val="32"/>
          <w:szCs w:val="32"/>
        </w:rPr>
      </w:pPr>
    </w:p>
    <w:p w:rsidR="00FE0895"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b/>
          <w:sz w:val="32"/>
          <w:szCs w:val="32"/>
        </w:rPr>
        <w:t>Minor children/Divorced parents</w:t>
      </w:r>
      <w:r w:rsidRPr="00047FB0">
        <w:rPr>
          <w:rFonts w:ascii="Times New Roman" w:eastAsiaTheme="minorHAnsi" w:hAnsi="Times New Roman"/>
          <w:sz w:val="32"/>
          <w:szCs w:val="32"/>
        </w:rPr>
        <w:t xml:space="preserve"> – for minor children of divorced parents, when both parents/legal guardians are responsible parties, information regarding both parents will be required to complete a Financial Assistance application. However, if after reasonable efforts, circumstances prevent the applicant from obtaining financial information for all responsible parties, information from responsible parties residing in the same household of the minor child/children will be used to make the determination.</w:t>
      </w:r>
    </w:p>
    <w:p w:rsidR="00557BE3" w:rsidRDefault="00557BE3" w:rsidP="00557BE3">
      <w:pPr>
        <w:pStyle w:val="ListParagraph"/>
        <w:rPr>
          <w:rFonts w:ascii="Times New Roman" w:eastAsiaTheme="minorHAnsi" w:hAnsi="Times New Roman"/>
          <w:sz w:val="32"/>
          <w:szCs w:val="32"/>
        </w:rPr>
      </w:pPr>
    </w:p>
    <w:p w:rsidR="00FE0895" w:rsidRPr="00047FB0" w:rsidRDefault="00FE0895" w:rsidP="00FE0895">
      <w:pPr>
        <w:spacing w:after="0" w:line="240" w:lineRule="auto"/>
        <w:rPr>
          <w:rFonts w:ascii="Times New Roman" w:eastAsiaTheme="minorHAnsi" w:hAnsi="Times New Roman"/>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color w:val="000000" w:themeColor="text1"/>
          <w:sz w:val="32"/>
          <w:szCs w:val="32"/>
        </w:rPr>
      </w:pPr>
      <w:r w:rsidRPr="00047FB0">
        <w:rPr>
          <w:rFonts w:ascii="Times New Roman" w:eastAsiaTheme="minorHAnsi" w:hAnsi="Times New Roman"/>
          <w:b/>
          <w:sz w:val="32"/>
          <w:szCs w:val="32"/>
        </w:rPr>
        <w:t>Collection Agency Accounts</w:t>
      </w:r>
      <w:r w:rsidRPr="00047FB0">
        <w:rPr>
          <w:rFonts w:ascii="Times New Roman" w:eastAsiaTheme="minorHAnsi" w:hAnsi="Times New Roman"/>
          <w:sz w:val="32"/>
          <w:szCs w:val="32"/>
        </w:rPr>
        <w:t xml:space="preserve"> – Accounts assigned to an outside collection agency will be el</w:t>
      </w:r>
      <w:r w:rsidR="006C57A2" w:rsidRPr="00047FB0">
        <w:rPr>
          <w:rFonts w:ascii="Times New Roman" w:eastAsiaTheme="minorHAnsi" w:hAnsi="Times New Roman"/>
          <w:sz w:val="32"/>
          <w:szCs w:val="32"/>
        </w:rPr>
        <w:t xml:space="preserve">igible for financial assistance, </w:t>
      </w:r>
      <w:r w:rsidR="006C57A2" w:rsidRPr="00047FB0">
        <w:rPr>
          <w:rFonts w:ascii="Times New Roman" w:eastAsiaTheme="minorHAnsi" w:hAnsi="Times New Roman"/>
          <w:color w:val="000000" w:themeColor="text1"/>
          <w:sz w:val="32"/>
          <w:szCs w:val="32"/>
        </w:rPr>
        <w:t xml:space="preserve">up to 240 days </w:t>
      </w:r>
      <w:r w:rsidR="005460A5" w:rsidRPr="00047FB0">
        <w:rPr>
          <w:rFonts w:ascii="Times New Roman" w:eastAsiaTheme="minorHAnsi" w:hAnsi="Times New Roman"/>
          <w:color w:val="000000" w:themeColor="text1"/>
          <w:sz w:val="32"/>
          <w:szCs w:val="32"/>
        </w:rPr>
        <w:t>after” post</w:t>
      </w:r>
      <w:r w:rsidR="00EA307E" w:rsidRPr="00047FB0">
        <w:rPr>
          <w:rFonts w:ascii="Times New Roman" w:eastAsiaTheme="minorHAnsi" w:hAnsi="Times New Roman"/>
          <w:color w:val="000000" w:themeColor="text1"/>
          <w:sz w:val="32"/>
          <w:szCs w:val="32"/>
        </w:rPr>
        <w:t xml:space="preserve"> discharge” billing statement is provided</w:t>
      </w:r>
      <w:r w:rsidR="006C57A2" w:rsidRPr="00047FB0">
        <w:rPr>
          <w:rFonts w:ascii="Times New Roman" w:eastAsiaTheme="minorHAnsi" w:hAnsi="Times New Roman"/>
          <w:color w:val="000000" w:themeColor="text1"/>
          <w:sz w:val="32"/>
          <w:szCs w:val="32"/>
        </w:rPr>
        <w:t>. To comply with 501 (r) regulations</w:t>
      </w:r>
      <w:r w:rsidR="00A62E21" w:rsidRPr="00047FB0">
        <w:rPr>
          <w:rFonts w:ascii="Times New Roman" w:eastAsiaTheme="minorHAnsi" w:hAnsi="Times New Roman"/>
          <w:color w:val="000000" w:themeColor="text1"/>
          <w:sz w:val="32"/>
          <w:szCs w:val="32"/>
        </w:rPr>
        <w:t xml:space="preserve"> these</w:t>
      </w:r>
      <w:r w:rsidR="006C57A2" w:rsidRPr="00047FB0">
        <w:rPr>
          <w:rFonts w:ascii="Times New Roman" w:eastAsiaTheme="minorHAnsi" w:hAnsi="Times New Roman"/>
          <w:color w:val="000000" w:themeColor="text1"/>
          <w:sz w:val="32"/>
          <w:szCs w:val="32"/>
        </w:rPr>
        <w:t xml:space="preserve"> account</w:t>
      </w:r>
      <w:r w:rsidR="00012C61" w:rsidRPr="00047FB0">
        <w:rPr>
          <w:rFonts w:ascii="Times New Roman" w:eastAsiaTheme="minorHAnsi" w:hAnsi="Times New Roman"/>
          <w:color w:val="000000" w:themeColor="text1"/>
          <w:sz w:val="32"/>
          <w:szCs w:val="32"/>
        </w:rPr>
        <w:t>s</w:t>
      </w:r>
      <w:r w:rsidR="006C57A2" w:rsidRPr="00047FB0">
        <w:rPr>
          <w:rFonts w:ascii="Times New Roman" w:eastAsiaTheme="minorHAnsi" w:hAnsi="Times New Roman"/>
          <w:color w:val="000000" w:themeColor="text1"/>
          <w:sz w:val="32"/>
          <w:szCs w:val="32"/>
        </w:rPr>
        <w:t xml:space="preserve"> will be </w:t>
      </w:r>
      <w:r w:rsidR="00EA307E" w:rsidRPr="00047FB0">
        <w:rPr>
          <w:rFonts w:ascii="Times New Roman" w:eastAsiaTheme="minorHAnsi" w:hAnsi="Times New Roman"/>
          <w:color w:val="000000" w:themeColor="text1"/>
          <w:sz w:val="32"/>
          <w:szCs w:val="32"/>
        </w:rPr>
        <w:t>put on hold with the</w:t>
      </w:r>
      <w:r w:rsidR="006C57A2" w:rsidRPr="00047FB0">
        <w:rPr>
          <w:rFonts w:ascii="Times New Roman" w:eastAsiaTheme="minorHAnsi" w:hAnsi="Times New Roman"/>
          <w:color w:val="000000" w:themeColor="text1"/>
          <w:sz w:val="32"/>
          <w:szCs w:val="32"/>
        </w:rPr>
        <w:t xml:space="preserve"> Collection Agency if a </w:t>
      </w:r>
      <w:r w:rsidR="00845766" w:rsidRPr="00047FB0">
        <w:rPr>
          <w:rFonts w:ascii="Times New Roman" w:eastAsiaTheme="minorHAnsi" w:hAnsi="Times New Roman"/>
          <w:color w:val="000000" w:themeColor="text1"/>
          <w:sz w:val="32"/>
          <w:szCs w:val="32"/>
        </w:rPr>
        <w:t>financial assistance application</w:t>
      </w:r>
      <w:r w:rsidR="006C57A2" w:rsidRPr="00047FB0">
        <w:rPr>
          <w:rFonts w:ascii="Times New Roman" w:eastAsiaTheme="minorHAnsi" w:hAnsi="Times New Roman"/>
          <w:color w:val="000000" w:themeColor="text1"/>
          <w:sz w:val="32"/>
          <w:szCs w:val="32"/>
        </w:rPr>
        <w:t xml:space="preserve"> is </w:t>
      </w:r>
      <w:r w:rsidR="00EA307E" w:rsidRPr="00047FB0">
        <w:rPr>
          <w:rFonts w:ascii="Times New Roman" w:eastAsiaTheme="minorHAnsi" w:hAnsi="Times New Roman"/>
          <w:color w:val="000000" w:themeColor="text1"/>
          <w:sz w:val="32"/>
          <w:szCs w:val="32"/>
        </w:rPr>
        <w:t>received and be pulled back from the agency if the application has been approved</w:t>
      </w:r>
      <w:r w:rsidR="006C57A2" w:rsidRPr="00047FB0">
        <w:rPr>
          <w:rFonts w:ascii="Times New Roman" w:eastAsiaTheme="minorHAnsi" w:hAnsi="Times New Roman"/>
          <w:color w:val="000000" w:themeColor="text1"/>
          <w:sz w:val="32"/>
          <w:szCs w:val="32"/>
        </w:rPr>
        <w:t xml:space="preserve">. </w:t>
      </w:r>
    </w:p>
    <w:p w:rsidR="00FE0895" w:rsidRPr="00047FB0" w:rsidRDefault="00FE0895" w:rsidP="00FE0895">
      <w:pPr>
        <w:spacing w:after="0" w:line="240" w:lineRule="auto"/>
        <w:rPr>
          <w:rFonts w:ascii="Times New Roman" w:eastAsiaTheme="minorHAnsi" w:hAnsi="Times New Roman"/>
          <w:color w:val="000000" w:themeColor="text1"/>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b/>
          <w:color w:val="000000" w:themeColor="text1"/>
          <w:sz w:val="32"/>
          <w:szCs w:val="32"/>
        </w:rPr>
        <w:t>Appeals</w:t>
      </w:r>
      <w:r w:rsidRPr="00047FB0">
        <w:rPr>
          <w:rFonts w:ascii="Times New Roman" w:eastAsiaTheme="minorHAnsi" w:hAnsi="Times New Roman"/>
          <w:color w:val="000000" w:themeColor="text1"/>
          <w:sz w:val="32"/>
          <w:szCs w:val="32"/>
        </w:rPr>
        <w:t xml:space="preserve"> – The patient and/or Responsible Party may appeal a denial of eligibility for financial assistance by providing additional information to Patient Financial Services/Financial Counselor with 14 days of receipt of notification of denial. All appeals will be reviewed by the Patient Financial Services Manager for final determination. If the final determination affirms the previous </w:t>
      </w:r>
      <w:r w:rsidRPr="00047FB0">
        <w:rPr>
          <w:rFonts w:ascii="Times New Roman" w:eastAsiaTheme="minorHAnsi" w:hAnsi="Times New Roman"/>
          <w:sz w:val="32"/>
          <w:szCs w:val="32"/>
        </w:rPr>
        <w:t>denial of financial assistance, written notification will be sent to the patient, legal guardian, and/or responsible party.</w:t>
      </w:r>
    </w:p>
    <w:p w:rsidR="00FE0895" w:rsidRPr="00047FB0" w:rsidRDefault="00FE0895" w:rsidP="00FE0895">
      <w:pPr>
        <w:spacing w:after="0" w:line="240" w:lineRule="auto"/>
        <w:rPr>
          <w:rFonts w:ascii="Times New Roman" w:eastAsiaTheme="minorHAnsi" w:hAnsi="Times New Roman"/>
          <w:sz w:val="32"/>
          <w:szCs w:val="32"/>
        </w:rPr>
      </w:pPr>
    </w:p>
    <w:p w:rsidR="00FE089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b/>
          <w:sz w:val="32"/>
          <w:szCs w:val="32"/>
        </w:rPr>
        <w:t xml:space="preserve"> Assets</w:t>
      </w:r>
      <w:r w:rsidRPr="00047FB0">
        <w:rPr>
          <w:rFonts w:ascii="Times New Roman" w:eastAsiaTheme="minorHAnsi" w:hAnsi="Times New Roman"/>
          <w:sz w:val="32"/>
          <w:szCs w:val="32"/>
        </w:rPr>
        <w:t xml:space="preserve"> directly related to the earnings and livelihood of the household may be exempt if deemed necessary and reasonable to the continued ability to maintain the household.  (</w:t>
      </w:r>
      <w:r w:rsidR="00892666" w:rsidRPr="00047FB0">
        <w:rPr>
          <w:rFonts w:ascii="Times New Roman" w:eastAsiaTheme="minorHAnsi" w:hAnsi="Times New Roman"/>
          <w:sz w:val="32"/>
          <w:szCs w:val="32"/>
        </w:rPr>
        <w:t>I.e</w:t>
      </w:r>
      <w:r w:rsidRPr="00047FB0">
        <w:rPr>
          <w:rFonts w:ascii="Times New Roman" w:eastAsiaTheme="minorHAnsi" w:hAnsi="Times New Roman"/>
          <w:sz w:val="32"/>
          <w:szCs w:val="32"/>
        </w:rPr>
        <w:t>. a savings account set aside for end of life expenses, a Certificate of Deposit that the interest proceeds provide the sole income).</w:t>
      </w:r>
    </w:p>
    <w:p w:rsidR="00FE0895" w:rsidRPr="00047FB0" w:rsidRDefault="00FE0895" w:rsidP="00FE0895">
      <w:pPr>
        <w:spacing w:after="0" w:line="240" w:lineRule="auto"/>
        <w:ind w:left="720"/>
        <w:contextualSpacing/>
        <w:rPr>
          <w:rFonts w:ascii="Times New Roman" w:eastAsiaTheme="minorHAnsi" w:hAnsi="Times New Roman"/>
          <w:sz w:val="32"/>
          <w:szCs w:val="32"/>
        </w:rPr>
      </w:pPr>
    </w:p>
    <w:p w:rsidR="00F44335" w:rsidRPr="00047FB0" w:rsidRDefault="00FE0895" w:rsidP="00FE0895">
      <w:pPr>
        <w:numPr>
          <w:ilvl w:val="1"/>
          <w:numId w:val="3"/>
        </w:numPr>
        <w:spacing w:after="0" w:line="240" w:lineRule="auto"/>
        <w:contextualSpacing/>
        <w:rPr>
          <w:rFonts w:ascii="Times New Roman" w:eastAsiaTheme="minorHAnsi" w:hAnsi="Times New Roman"/>
          <w:sz w:val="32"/>
          <w:szCs w:val="32"/>
        </w:rPr>
      </w:pPr>
      <w:r w:rsidRPr="00047FB0">
        <w:rPr>
          <w:rFonts w:ascii="Times New Roman" w:eastAsiaTheme="minorHAnsi" w:hAnsi="Times New Roman"/>
          <w:b/>
          <w:sz w:val="32"/>
          <w:szCs w:val="32"/>
        </w:rPr>
        <w:t>Life changing events –</w:t>
      </w:r>
      <w:r w:rsidRPr="00047FB0">
        <w:rPr>
          <w:rFonts w:ascii="Times New Roman" w:eastAsiaTheme="minorHAnsi" w:hAnsi="Times New Roman"/>
          <w:sz w:val="32"/>
          <w:szCs w:val="32"/>
        </w:rPr>
        <w:t xml:space="preserve"> If a patient</w:t>
      </w:r>
      <w:r w:rsidR="00EA307E" w:rsidRPr="00047FB0">
        <w:rPr>
          <w:rFonts w:ascii="Times New Roman" w:eastAsiaTheme="minorHAnsi" w:hAnsi="Times New Roman"/>
          <w:sz w:val="32"/>
          <w:szCs w:val="32"/>
        </w:rPr>
        <w:t xml:space="preserve"> that</w:t>
      </w:r>
      <w:r w:rsidRPr="00047FB0">
        <w:rPr>
          <w:rFonts w:ascii="Times New Roman" w:eastAsiaTheme="minorHAnsi" w:hAnsi="Times New Roman"/>
          <w:sz w:val="32"/>
          <w:szCs w:val="32"/>
        </w:rPr>
        <w:t xml:space="preserve"> currently</w:t>
      </w:r>
      <w:r w:rsidR="00EA307E" w:rsidRPr="00047FB0">
        <w:rPr>
          <w:rFonts w:ascii="Times New Roman" w:eastAsiaTheme="minorHAnsi" w:hAnsi="Times New Roman"/>
          <w:sz w:val="32"/>
          <w:szCs w:val="32"/>
        </w:rPr>
        <w:t xml:space="preserve"> is</w:t>
      </w:r>
      <w:r w:rsidRPr="00047FB0">
        <w:rPr>
          <w:rFonts w:ascii="Times New Roman" w:eastAsiaTheme="minorHAnsi" w:hAnsi="Times New Roman"/>
          <w:sz w:val="32"/>
          <w:szCs w:val="32"/>
        </w:rPr>
        <w:t xml:space="preserve"> receiving financial assistance from Livingston HealthCare experiences a life changing event (</w:t>
      </w:r>
      <w:r w:rsidR="00892666" w:rsidRPr="00047FB0">
        <w:rPr>
          <w:rFonts w:ascii="Times New Roman" w:eastAsiaTheme="minorHAnsi" w:hAnsi="Times New Roman"/>
          <w:sz w:val="32"/>
          <w:szCs w:val="32"/>
        </w:rPr>
        <w:t>i.e.</w:t>
      </w:r>
      <w:r w:rsidRPr="00047FB0">
        <w:rPr>
          <w:rFonts w:ascii="Times New Roman" w:eastAsiaTheme="minorHAnsi" w:hAnsi="Times New Roman"/>
          <w:sz w:val="32"/>
          <w:szCs w:val="32"/>
        </w:rPr>
        <w:t xml:space="preserve"> death of family member, extended illness) that directly impacts the previously stated family income, the patient may re-apply for financial assistance based on the current family income and the percentage of assistance may then be recalculated</w:t>
      </w:r>
    </w:p>
    <w:p w:rsidR="0088374E" w:rsidRPr="00047FB0" w:rsidRDefault="0088374E" w:rsidP="0088374E">
      <w:pPr>
        <w:spacing w:after="0" w:line="240" w:lineRule="auto"/>
        <w:contextualSpacing/>
        <w:rPr>
          <w:rFonts w:ascii="Times New Roman" w:eastAsiaTheme="minorHAnsi" w:hAnsi="Times New Roman"/>
          <w:sz w:val="32"/>
          <w:szCs w:val="32"/>
        </w:rPr>
      </w:pPr>
    </w:p>
    <w:p w:rsidR="0088374E" w:rsidRPr="00047FB0" w:rsidRDefault="0088374E" w:rsidP="0088374E">
      <w:pPr>
        <w:pStyle w:val="ListParagraph"/>
        <w:rPr>
          <w:rFonts w:ascii="Times New Roman" w:eastAsiaTheme="minorHAnsi" w:hAnsi="Times New Roman"/>
          <w:sz w:val="32"/>
          <w:szCs w:val="32"/>
        </w:rPr>
      </w:pPr>
    </w:p>
    <w:p w:rsidR="0088374E" w:rsidRPr="00047FB0" w:rsidRDefault="0088374E" w:rsidP="0088374E">
      <w:pPr>
        <w:spacing w:after="0" w:line="240" w:lineRule="auto"/>
        <w:contextualSpacing/>
        <w:rPr>
          <w:rFonts w:ascii="Times New Roman" w:eastAsiaTheme="minorHAnsi" w:hAnsi="Times New Roman"/>
          <w:b/>
          <w:sz w:val="32"/>
          <w:szCs w:val="32"/>
        </w:rPr>
      </w:pPr>
    </w:p>
    <w:p w:rsidR="00976807" w:rsidRPr="00047FB0" w:rsidRDefault="00976807" w:rsidP="00976807">
      <w:pPr>
        <w:pStyle w:val="ListParagraph"/>
        <w:rPr>
          <w:rFonts w:ascii="Times New Roman" w:eastAsiaTheme="minorHAnsi" w:hAnsi="Times New Roman"/>
          <w:b/>
          <w:sz w:val="32"/>
          <w:szCs w:val="32"/>
        </w:rPr>
      </w:pPr>
    </w:p>
    <w:p w:rsidR="003C01D5" w:rsidRPr="00047FB0" w:rsidRDefault="003C01D5" w:rsidP="003C01D5">
      <w:pPr>
        <w:pStyle w:val="ListParagraph"/>
        <w:rPr>
          <w:rFonts w:ascii="Times New Roman" w:eastAsiaTheme="minorHAnsi" w:hAnsi="Times New Roman"/>
          <w:sz w:val="32"/>
          <w:szCs w:val="32"/>
        </w:rPr>
      </w:pPr>
    </w:p>
    <w:p w:rsidR="003C01D5" w:rsidRPr="00047FB0" w:rsidRDefault="003C01D5" w:rsidP="003C01D5">
      <w:pPr>
        <w:spacing w:after="0" w:line="240" w:lineRule="auto"/>
        <w:contextualSpacing/>
        <w:rPr>
          <w:rFonts w:ascii="Times New Roman" w:eastAsiaTheme="minorHAnsi" w:hAnsi="Times New Roman"/>
          <w:sz w:val="32"/>
          <w:szCs w:val="32"/>
        </w:rPr>
      </w:pPr>
    </w:p>
    <w:p w:rsidR="003C01D5" w:rsidRPr="00047FB0" w:rsidRDefault="003C01D5" w:rsidP="003C01D5">
      <w:pPr>
        <w:spacing w:after="0" w:line="240" w:lineRule="auto"/>
        <w:contextualSpacing/>
        <w:rPr>
          <w:rFonts w:ascii="Times New Roman" w:eastAsiaTheme="minorHAnsi" w:hAnsi="Times New Roman"/>
          <w:sz w:val="32"/>
          <w:szCs w:val="32"/>
        </w:rPr>
      </w:pPr>
    </w:p>
    <w:p w:rsidR="008020CD" w:rsidRPr="00047FB0" w:rsidRDefault="008020CD" w:rsidP="008020CD">
      <w:pPr>
        <w:widowControl w:val="0"/>
        <w:spacing w:after="0" w:line="240" w:lineRule="auto"/>
        <w:rPr>
          <w:rFonts w:ascii="Arial" w:hAnsi="Arial" w:cs="Arial"/>
          <w:sz w:val="32"/>
          <w:szCs w:val="32"/>
        </w:rPr>
      </w:pPr>
    </w:p>
    <w:p w:rsidR="00F44335" w:rsidRPr="00047FB0" w:rsidRDefault="00F44335" w:rsidP="008020CD">
      <w:pPr>
        <w:widowControl w:val="0"/>
        <w:spacing w:after="0" w:line="240" w:lineRule="auto"/>
        <w:rPr>
          <w:rFonts w:ascii="Arial Black" w:hAnsi="Arial Black"/>
          <w:b/>
          <w:sz w:val="32"/>
          <w:szCs w:val="32"/>
          <w:u w:val="thick"/>
        </w:rPr>
      </w:pPr>
      <w:r w:rsidRPr="00047FB0">
        <w:rPr>
          <w:rFonts w:ascii="Arial Black" w:hAnsi="Arial Black"/>
          <w:b/>
          <w:sz w:val="32"/>
          <w:szCs w:val="32"/>
          <w:u w:val="thick"/>
        </w:rPr>
        <w:t>Definitions</w:t>
      </w:r>
    </w:p>
    <w:p w:rsidR="008A4026" w:rsidRPr="00047FB0" w:rsidRDefault="008A4026" w:rsidP="008A4026">
      <w:pPr>
        <w:spacing w:after="0" w:line="240" w:lineRule="auto"/>
        <w:rPr>
          <w:rFonts w:ascii="Times New Roman" w:eastAsiaTheme="minorHAnsi" w:hAnsi="Times New Roman"/>
          <w:b/>
          <w:sz w:val="32"/>
          <w:szCs w:val="32"/>
        </w:rPr>
      </w:pPr>
      <w:r w:rsidRPr="00047FB0">
        <w:rPr>
          <w:rFonts w:ascii="Times New Roman" w:eastAsiaTheme="minorHAnsi" w:hAnsi="Times New Roman"/>
          <w:b/>
          <w:sz w:val="32"/>
          <w:szCs w:val="32"/>
        </w:rPr>
        <w:t>DEFINITIONS:</w:t>
      </w:r>
    </w:p>
    <w:p w:rsidR="008A4026" w:rsidRPr="00047FB0" w:rsidRDefault="008A4026" w:rsidP="008A4026">
      <w:pPr>
        <w:spacing w:after="0" w:line="240" w:lineRule="auto"/>
        <w:rPr>
          <w:rFonts w:ascii="Times New Roman" w:eastAsiaTheme="minorHAnsi" w:hAnsi="Times New Roman"/>
          <w:sz w:val="32"/>
          <w:szCs w:val="32"/>
        </w:rPr>
      </w:pPr>
    </w:p>
    <w:p w:rsidR="008A4026" w:rsidRPr="00047FB0"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b/>
          <w:sz w:val="32"/>
          <w:szCs w:val="32"/>
        </w:rPr>
        <w:t>Family:</w:t>
      </w:r>
      <w:r w:rsidRPr="00047FB0">
        <w:rPr>
          <w:rFonts w:ascii="Times New Roman" w:eastAsiaTheme="minorHAnsi" w:hAnsi="Times New Roman"/>
          <w:sz w:val="32"/>
          <w:szCs w:val="32"/>
        </w:rPr>
        <w:t xml:space="preserve">  Defined by the Census Bureau as a group of two or more people who reside together and who are related by birth, marriage, or adoption. According to Internal Revenue Service’s rules, if the patient claims someone as a dependent on their income tax return, they may be considered a dependent for the purposes of the provision of financial assistance.</w:t>
      </w:r>
    </w:p>
    <w:p w:rsidR="008A4026" w:rsidRPr="00047FB0" w:rsidRDefault="008A4026" w:rsidP="008A4026">
      <w:pPr>
        <w:spacing w:after="0" w:line="240" w:lineRule="auto"/>
        <w:rPr>
          <w:rFonts w:ascii="Times New Roman" w:eastAsiaTheme="minorHAnsi" w:hAnsi="Times New Roman"/>
          <w:sz w:val="32"/>
          <w:szCs w:val="32"/>
        </w:rPr>
      </w:pPr>
    </w:p>
    <w:p w:rsidR="008A4026" w:rsidRPr="00047FB0"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b/>
          <w:sz w:val="32"/>
          <w:szCs w:val="32"/>
        </w:rPr>
        <w:t>Family income:</w:t>
      </w:r>
      <w:r w:rsidRPr="00047FB0">
        <w:rPr>
          <w:rFonts w:ascii="Times New Roman" w:eastAsiaTheme="minorHAnsi" w:hAnsi="Times New Roman"/>
          <w:sz w:val="32"/>
          <w:szCs w:val="32"/>
        </w:rPr>
        <w:t xml:space="preserve">  Income is the total annual cash receipts before taxes from all sources which may include, but is not limited to, wages and salaries before deductions, net receipts from non-farm self-employment income, net receipts from farm self-employment, social security payments, railroad retirement, unemployment compensation, workers compensation benefits, veteran’s payments, and public assistance payments, Supplemental Security Income, Social Security Disability Income, alimony, child support, military allotments, private pensions, government pensions, annuity payments, rental income, net payments, net gambling or lottery winnings. Noncash benefits (such as food stamps and housing subsidies) do not count as income.</w:t>
      </w:r>
    </w:p>
    <w:p w:rsidR="008A4026" w:rsidRPr="00047FB0" w:rsidRDefault="008A4026" w:rsidP="008A4026">
      <w:pPr>
        <w:spacing w:after="0" w:line="240" w:lineRule="auto"/>
        <w:rPr>
          <w:rFonts w:ascii="Times New Roman" w:eastAsiaTheme="minorHAnsi" w:hAnsi="Times New Roman"/>
          <w:sz w:val="32"/>
          <w:szCs w:val="32"/>
        </w:rPr>
      </w:pPr>
    </w:p>
    <w:p w:rsidR="008A4026"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b/>
          <w:sz w:val="32"/>
          <w:szCs w:val="32"/>
        </w:rPr>
        <w:t>Federal Income Poverty Guidelines:</w:t>
      </w:r>
      <w:r w:rsidRPr="00047FB0">
        <w:rPr>
          <w:rFonts w:ascii="Times New Roman" w:eastAsiaTheme="minorHAnsi" w:hAnsi="Times New Roman"/>
          <w:sz w:val="32"/>
          <w:szCs w:val="32"/>
        </w:rPr>
        <w:t xml:space="preserve">  The most recent published federal income poverty guidelines for a household, which shall be revised and attached to this policy annually as they are published by United States Health and Human Services agency.</w:t>
      </w:r>
      <w:r w:rsidR="00677731">
        <w:rPr>
          <w:rFonts w:ascii="Times New Roman" w:eastAsiaTheme="minorHAnsi" w:hAnsi="Times New Roman"/>
          <w:sz w:val="32"/>
          <w:szCs w:val="32"/>
        </w:rPr>
        <w:t xml:space="preserve"> </w:t>
      </w:r>
    </w:p>
    <w:p w:rsidR="00677731" w:rsidRPr="00047FB0" w:rsidRDefault="00677731" w:rsidP="008A4026">
      <w:pPr>
        <w:spacing w:after="0" w:line="240" w:lineRule="auto"/>
        <w:rPr>
          <w:rFonts w:ascii="Times New Roman" w:eastAsiaTheme="minorHAnsi" w:hAnsi="Times New Roman"/>
          <w:sz w:val="32"/>
          <w:szCs w:val="32"/>
        </w:rPr>
      </w:pPr>
    </w:p>
    <w:p w:rsidR="008A4026" w:rsidRPr="00047FB0"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b/>
          <w:sz w:val="32"/>
          <w:szCs w:val="32"/>
        </w:rPr>
        <w:t>Legal Guardian:</w:t>
      </w:r>
      <w:r w:rsidRPr="00047FB0">
        <w:rPr>
          <w:rFonts w:ascii="Times New Roman" w:eastAsiaTheme="minorHAnsi" w:hAnsi="Times New Roman"/>
          <w:sz w:val="32"/>
          <w:szCs w:val="32"/>
        </w:rPr>
        <w:t xml:space="preserve">  A recognized legal surrogate for the patient with regard to medical and financial decisions, who would be authorized under Montana law to receive confidential health care information on the patient. This includes parents who are legally responsible for their minor children, close family members who are recognized by the patient or Montana law as having the legal ability to act on the patient’s behalf with regard to medical and/or financial decisions, or legal guardian under Montana law.</w:t>
      </w:r>
    </w:p>
    <w:p w:rsidR="008A4026" w:rsidRPr="00047FB0" w:rsidRDefault="008A4026" w:rsidP="008A4026">
      <w:pPr>
        <w:spacing w:after="0" w:line="240" w:lineRule="auto"/>
        <w:rPr>
          <w:rFonts w:ascii="Times New Roman" w:eastAsiaTheme="minorHAnsi" w:hAnsi="Times New Roman"/>
          <w:sz w:val="32"/>
          <w:szCs w:val="32"/>
        </w:rPr>
      </w:pPr>
    </w:p>
    <w:p w:rsidR="008A4026" w:rsidRPr="00047FB0"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b/>
          <w:sz w:val="32"/>
          <w:szCs w:val="32"/>
        </w:rPr>
        <w:t xml:space="preserve">Medically Necessary:  </w:t>
      </w:r>
      <w:r w:rsidRPr="00047FB0">
        <w:rPr>
          <w:rFonts w:ascii="Times New Roman" w:eastAsiaTheme="minorHAnsi" w:hAnsi="Times New Roman"/>
          <w:sz w:val="32"/>
          <w:szCs w:val="32"/>
        </w:rPr>
        <w:t>Emergency medical services provided in an emergency department setting.</w:t>
      </w:r>
    </w:p>
    <w:p w:rsidR="008A4026" w:rsidRPr="00047FB0"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sz w:val="32"/>
          <w:szCs w:val="32"/>
        </w:rPr>
        <w:t>Non-elective services provided in response to life-threatening circumstances in a non-emergency department setting or services for a condition which, if not promptly treated, would lead to an adverse change in the health status of an individual.</w:t>
      </w:r>
    </w:p>
    <w:p w:rsidR="008A4026" w:rsidRPr="00047FB0" w:rsidRDefault="008A4026" w:rsidP="008A4026">
      <w:pPr>
        <w:spacing w:after="0" w:line="240" w:lineRule="auto"/>
        <w:rPr>
          <w:rFonts w:ascii="Times New Roman" w:eastAsiaTheme="minorHAnsi" w:hAnsi="Times New Roman"/>
          <w:b/>
          <w:sz w:val="32"/>
          <w:szCs w:val="32"/>
        </w:rPr>
      </w:pPr>
    </w:p>
    <w:p w:rsidR="008A4026" w:rsidRPr="00047FB0"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b/>
          <w:sz w:val="32"/>
          <w:szCs w:val="32"/>
        </w:rPr>
        <w:t>Responsible Party:</w:t>
      </w:r>
      <w:r w:rsidRPr="00047FB0">
        <w:rPr>
          <w:rFonts w:ascii="Times New Roman" w:eastAsiaTheme="minorHAnsi" w:hAnsi="Times New Roman"/>
          <w:sz w:val="32"/>
          <w:szCs w:val="32"/>
        </w:rPr>
        <w:t xml:space="preserve">  The patient or any individual legally obligated to pay for the patient’s debts for medical care, excluding third party payers. An adult patient, living in the household of the relative other than a spouse – including an adult, unmarried child living at home – will be considered the “responsible party” for purposes of this policy, without regard to the assets and income of the other relatives living in the household (except a spouse).</w:t>
      </w:r>
    </w:p>
    <w:p w:rsidR="008A4026" w:rsidRPr="00047FB0" w:rsidRDefault="008A4026" w:rsidP="008A4026">
      <w:pPr>
        <w:spacing w:after="0" w:line="240" w:lineRule="auto"/>
        <w:rPr>
          <w:rFonts w:ascii="Times New Roman" w:eastAsiaTheme="minorHAnsi" w:hAnsi="Times New Roman"/>
          <w:sz w:val="32"/>
          <w:szCs w:val="32"/>
        </w:rPr>
      </w:pPr>
    </w:p>
    <w:p w:rsidR="008A4026" w:rsidRPr="00047FB0"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b/>
          <w:sz w:val="32"/>
          <w:szCs w:val="32"/>
        </w:rPr>
        <w:t>Third Party Payer:</w:t>
      </w:r>
      <w:r w:rsidRPr="00047FB0">
        <w:rPr>
          <w:rFonts w:ascii="Times New Roman" w:eastAsiaTheme="minorHAnsi" w:hAnsi="Times New Roman"/>
          <w:sz w:val="32"/>
          <w:szCs w:val="32"/>
        </w:rPr>
        <w:t xml:space="preserve">  Any financial agent or entity, such as an insurance carrier, HMO, employee benefit plan, or government payer, with a legally enforceable obligation to pay for services billed to the patient by Livingston HealthCare. (Responsible parties, as defined herein, are not considered third party payers.)</w:t>
      </w:r>
    </w:p>
    <w:p w:rsidR="008A4026" w:rsidRPr="00047FB0" w:rsidRDefault="008A4026" w:rsidP="008A4026">
      <w:pPr>
        <w:spacing w:after="0" w:line="240" w:lineRule="auto"/>
        <w:rPr>
          <w:rFonts w:ascii="Times New Roman" w:eastAsiaTheme="minorHAnsi" w:hAnsi="Times New Roman"/>
          <w:sz w:val="32"/>
          <w:szCs w:val="32"/>
        </w:rPr>
      </w:pPr>
    </w:p>
    <w:p w:rsidR="008A4026" w:rsidRPr="00047FB0"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b/>
          <w:sz w:val="32"/>
          <w:szCs w:val="32"/>
        </w:rPr>
        <w:t>Underinsured:</w:t>
      </w:r>
      <w:r w:rsidRPr="00047FB0">
        <w:rPr>
          <w:rFonts w:ascii="Times New Roman" w:eastAsiaTheme="minorHAnsi" w:hAnsi="Times New Roman"/>
          <w:sz w:val="32"/>
          <w:szCs w:val="32"/>
        </w:rPr>
        <w:t xml:space="preserve">  The patient has some level of insurance or third-party assistance but still has out-of-pocket expenses that exceed his/her financial abilities.</w:t>
      </w:r>
    </w:p>
    <w:p w:rsidR="008A4026" w:rsidRPr="00047FB0" w:rsidRDefault="008A4026" w:rsidP="008A4026">
      <w:pPr>
        <w:spacing w:after="0" w:line="240" w:lineRule="auto"/>
        <w:rPr>
          <w:rFonts w:ascii="Times New Roman" w:eastAsiaTheme="minorHAnsi" w:hAnsi="Times New Roman"/>
          <w:sz w:val="32"/>
          <w:szCs w:val="32"/>
        </w:rPr>
      </w:pPr>
    </w:p>
    <w:p w:rsidR="008A4026" w:rsidRPr="00047FB0" w:rsidRDefault="008A4026" w:rsidP="008A4026">
      <w:pPr>
        <w:spacing w:after="0" w:line="240" w:lineRule="auto"/>
        <w:rPr>
          <w:rFonts w:ascii="Times New Roman" w:eastAsiaTheme="minorHAnsi" w:hAnsi="Times New Roman"/>
          <w:sz w:val="32"/>
          <w:szCs w:val="32"/>
        </w:rPr>
      </w:pPr>
      <w:r w:rsidRPr="00047FB0">
        <w:rPr>
          <w:rFonts w:ascii="Times New Roman" w:eastAsiaTheme="minorHAnsi" w:hAnsi="Times New Roman"/>
          <w:b/>
          <w:sz w:val="32"/>
          <w:szCs w:val="32"/>
        </w:rPr>
        <w:t>Uninsured:</w:t>
      </w:r>
      <w:r w:rsidRPr="00047FB0">
        <w:rPr>
          <w:rFonts w:ascii="Times New Roman" w:eastAsiaTheme="minorHAnsi" w:hAnsi="Times New Roman"/>
          <w:sz w:val="32"/>
          <w:szCs w:val="32"/>
        </w:rPr>
        <w:t xml:space="preserve">  The patient has no level of insurance or </w:t>
      </w:r>
      <w:r w:rsidR="005460A5" w:rsidRPr="00047FB0">
        <w:rPr>
          <w:rFonts w:ascii="Times New Roman" w:eastAsiaTheme="minorHAnsi" w:hAnsi="Times New Roman"/>
          <w:sz w:val="32"/>
          <w:szCs w:val="32"/>
        </w:rPr>
        <w:t>third-party</w:t>
      </w:r>
      <w:r w:rsidRPr="00047FB0">
        <w:rPr>
          <w:rFonts w:ascii="Times New Roman" w:eastAsiaTheme="minorHAnsi" w:hAnsi="Times New Roman"/>
          <w:sz w:val="32"/>
          <w:szCs w:val="32"/>
        </w:rPr>
        <w:t xml:space="preserve"> assistance to assist with meeting his/her payment obligations.</w:t>
      </w:r>
    </w:p>
    <w:p w:rsidR="008A4026" w:rsidRPr="00047FB0" w:rsidRDefault="008A4026" w:rsidP="008A4026">
      <w:pPr>
        <w:spacing w:after="0" w:line="240" w:lineRule="auto"/>
        <w:rPr>
          <w:rFonts w:ascii="Times New Roman" w:eastAsiaTheme="minorHAnsi" w:hAnsi="Times New Roman"/>
          <w:sz w:val="32"/>
          <w:szCs w:val="32"/>
        </w:rPr>
      </w:pPr>
    </w:p>
    <w:p w:rsidR="008020CD" w:rsidRPr="00047FB0" w:rsidRDefault="008A4026" w:rsidP="008020CD">
      <w:pPr>
        <w:widowControl w:val="0"/>
        <w:spacing w:after="0" w:line="240" w:lineRule="auto"/>
        <w:rPr>
          <w:rFonts w:ascii="Times New Roman" w:eastAsia="Times New Roman" w:hAnsi="Times New Roman"/>
          <w:sz w:val="32"/>
          <w:szCs w:val="32"/>
        </w:rPr>
      </w:pPr>
      <w:r w:rsidRPr="00047FB0">
        <w:rPr>
          <w:rFonts w:ascii="Times New Roman" w:eastAsia="Times New Roman" w:hAnsi="Times New Roman"/>
          <w:b/>
          <w:iCs/>
          <w:sz w:val="32"/>
          <w:szCs w:val="32"/>
        </w:rPr>
        <w:t>Presumptive Eligibility</w:t>
      </w:r>
      <w:r w:rsidR="00892666" w:rsidRPr="00047FB0">
        <w:rPr>
          <w:rFonts w:ascii="Times New Roman" w:eastAsia="Times New Roman" w:hAnsi="Times New Roman"/>
          <w:b/>
          <w:iCs/>
          <w:sz w:val="32"/>
          <w:szCs w:val="32"/>
        </w:rPr>
        <w:t>:</w:t>
      </w:r>
      <w:r w:rsidRPr="00047FB0">
        <w:rPr>
          <w:rFonts w:ascii="Times New Roman" w:eastAsia="Times New Roman" w:hAnsi="Times New Roman"/>
          <w:sz w:val="32"/>
          <w:szCs w:val="32"/>
        </w:rPr>
        <w:t xml:space="preserve">  Medicaid eligibility</w:t>
      </w:r>
      <w:r w:rsidR="00677731">
        <w:rPr>
          <w:rFonts w:ascii="Times New Roman" w:eastAsia="Times New Roman" w:hAnsi="Times New Roman"/>
          <w:sz w:val="32"/>
          <w:szCs w:val="32"/>
        </w:rPr>
        <w:t xml:space="preserve"> may be</w:t>
      </w:r>
      <w:r w:rsidRPr="00047FB0">
        <w:rPr>
          <w:rFonts w:ascii="Times New Roman" w:eastAsia="Times New Roman" w:hAnsi="Times New Roman"/>
          <w:sz w:val="32"/>
          <w:szCs w:val="32"/>
        </w:rPr>
        <w:t xml:space="preserve"> an indication that an individual qualifies for financial assistance under presumptive eligibility.</w:t>
      </w:r>
      <w:r w:rsidR="00B8134A" w:rsidRPr="00047FB0">
        <w:rPr>
          <w:rFonts w:ascii="Times New Roman" w:eastAsia="Times New Roman" w:hAnsi="Times New Roman"/>
          <w:sz w:val="32"/>
          <w:szCs w:val="32"/>
        </w:rPr>
        <w:t xml:space="preserve"> </w:t>
      </w:r>
      <w:r w:rsidR="00892666" w:rsidRPr="00047FB0">
        <w:rPr>
          <w:rFonts w:ascii="Times New Roman" w:eastAsia="Times New Roman" w:hAnsi="Times New Roman"/>
          <w:sz w:val="32"/>
          <w:szCs w:val="32"/>
        </w:rPr>
        <w:t>(</w:t>
      </w:r>
      <w:r w:rsidR="00B8134A" w:rsidRPr="00047FB0">
        <w:rPr>
          <w:rFonts w:ascii="Times New Roman" w:eastAsia="Times New Roman" w:hAnsi="Times New Roman"/>
          <w:sz w:val="32"/>
          <w:szCs w:val="32"/>
        </w:rPr>
        <w:t>79 Fed. Reg. 78992</w:t>
      </w:r>
      <w:r w:rsidR="00892666" w:rsidRPr="00047FB0">
        <w:rPr>
          <w:rFonts w:ascii="Times New Roman" w:eastAsia="Times New Roman" w:hAnsi="Times New Roman"/>
          <w:sz w:val="32"/>
          <w:szCs w:val="32"/>
        </w:rPr>
        <w:t xml:space="preserve">) Livingston HealthCare </w:t>
      </w:r>
      <w:r w:rsidR="00677731">
        <w:rPr>
          <w:rFonts w:ascii="Times New Roman" w:eastAsia="Times New Roman" w:hAnsi="Times New Roman"/>
          <w:sz w:val="32"/>
          <w:szCs w:val="32"/>
        </w:rPr>
        <w:t>may</w:t>
      </w:r>
      <w:r w:rsidR="00892666" w:rsidRPr="00047FB0">
        <w:rPr>
          <w:rFonts w:ascii="Times New Roman" w:eastAsia="Times New Roman" w:hAnsi="Times New Roman"/>
          <w:sz w:val="32"/>
          <w:szCs w:val="32"/>
        </w:rPr>
        <w:t xml:space="preserve"> apply presumptive eligibility for line item charges that are considered non covered services by Medicaid. </w:t>
      </w:r>
    </w:p>
    <w:p w:rsidR="00741C2D" w:rsidRPr="00047FB0" w:rsidRDefault="00741C2D" w:rsidP="008020CD">
      <w:pPr>
        <w:widowControl w:val="0"/>
        <w:spacing w:after="0" w:line="240" w:lineRule="auto"/>
        <w:rPr>
          <w:rFonts w:ascii="Times New Roman" w:eastAsia="Times New Roman" w:hAnsi="Times New Roman"/>
          <w:sz w:val="32"/>
          <w:szCs w:val="32"/>
        </w:rPr>
      </w:pPr>
    </w:p>
    <w:p w:rsidR="003C01D5" w:rsidRPr="00047FB0" w:rsidRDefault="00741C2D" w:rsidP="008020CD">
      <w:pPr>
        <w:widowControl w:val="0"/>
        <w:spacing w:after="0" w:line="240" w:lineRule="auto"/>
        <w:rPr>
          <w:rFonts w:ascii="Times New Roman" w:eastAsia="Times New Roman" w:hAnsi="Times New Roman"/>
          <w:sz w:val="32"/>
          <w:szCs w:val="32"/>
        </w:rPr>
      </w:pPr>
      <w:r w:rsidRPr="00047FB0">
        <w:rPr>
          <w:rFonts w:ascii="Times New Roman" w:eastAsia="Times New Roman" w:hAnsi="Times New Roman"/>
          <w:b/>
          <w:sz w:val="32"/>
          <w:szCs w:val="32"/>
        </w:rPr>
        <w:t>Amount Generally Billed</w:t>
      </w:r>
      <w:r w:rsidRPr="00047FB0">
        <w:rPr>
          <w:rFonts w:ascii="Times New Roman" w:eastAsia="Times New Roman" w:hAnsi="Times New Roman"/>
          <w:sz w:val="32"/>
          <w:szCs w:val="32"/>
        </w:rPr>
        <w:t>: AGB to patients who have insurance covering emergency or other medically necessary care.  Section 1.501(r)-5(b) of the</w:t>
      </w:r>
      <w:r w:rsidR="000B5FC2" w:rsidRPr="00047FB0">
        <w:rPr>
          <w:rFonts w:ascii="Times New Roman" w:eastAsia="Times New Roman" w:hAnsi="Times New Roman"/>
          <w:sz w:val="32"/>
          <w:szCs w:val="32"/>
        </w:rPr>
        <w:t xml:space="preserve"> CFR</w:t>
      </w:r>
      <w:r w:rsidRPr="00047FB0">
        <w:rPr>
          <w:rFonts w:ascii="Times New Roman" w:eastAsia="Times New Roman" w:hAnsi="Times New Roman"/>
          <w:sz w:val="32"/>
          <w:szCs w:val="32"/>
        </w:rPr>
        <w:t xml:space="preserve"> final regulations</w:t>
      </w:r>
      <w:r w:rsidR="000B5FC2" w:rsidRPr="00047FB0">
        <w:rPr>
          <w:rFonts w:ascii="Times New Roman" w:eastAsia="Times New Roman" w:hAnsi="Times New Roman"/>
          <w:sz w:val="32"/>
          <w:szCs w:val="32"/>
        </w:rPr>
        <w:t xml:space="preserve">. Livingston HealthCare will be calculating the AGB on the </w:t>
      </w:r>
      <w:r w:rsidR="000B5FC2" w:rsidRPr="00047FB0">
        <w:rPr>
          <w:rFonts w:ascii="Times New Roman" w:eastAsia="Times New Roman" w:hAnsi="Times New Roman"/>
          <w:b/>
          <w:bCs/>
          <w:sz w:val="32"/>
          <w:szCs w:val="32"/>
        </w:rPr>
        <w:t xml:space="preserve">Prospective Medicare Method. </w:t>
      </w:r>
      <w:r w:rsidR="000B5FC2" w:rsidRPr="00047FB0">
        <w:rPr>
          <w:rFonts w:ascii="Times New Roman" w:eastAsia="Times New Roman" w:hAnsi="Times New Roman"/>
          <w:bCs/>
          <w:sz w:val="32"/>
          <w:szCs w:val="32"/>
        </w:rPr>
        <w:t>I</w:t>
      </w:r>
      <w:r w:rsidRPr="00047FB0">
        <w:rPr>
          <w:rFonts w:ascii="Times New Roman" w:eastAsia="Times New Roman" w:hAnsi="Times New Roman"/>
          <w:sz w:val="32"/>
          <w:szCs w:val="32"/>
        </w:rPr>
        <w:t>ndividuals who have been determined to be eligible for financial assistance cannot be charged more than AGB.</w:t>
      </w:r>
    </w:p>
    <w:p w:rsidR="003C01D5" w:rsidRPr="00047FB0" w:rsidRDefault="003C01D5" w:rsidP="008020CD">
      <w:pPr>
        <w:widowControl w:val="0"/>
        <w:spacing w:after="0" w:line="240" w:lineRule="auto"/>
        <w:rPr>
          <w:rFonts w:ascii="Times New Roman" w:eastAsia="Times New Roman" w:hAnsi="Times New Roman"/>
          <w:color w:val="FF0000"/>
          <w:sz w:val="32"/>
          <w:szCs w:val="32"/>
        </w:rPr>
      </w:pPr>
    </w:p>
    <w:p w:rsidR="003C01D5" w:rsidRPr="00047FB0" w:rsidRDefault="003C01D5" w:rsidP="008020CD">
      <w:pPr>
        <w:widowControl w:val="0"/>
        <w:spacing w:after="0" w:line="240" w:lineRule="auto"/>
        <w:rPr>
          <w:rFonts w:ascii="Times New Roman" w:eastAsia="Times New Roman" w:hAnsi="Times New Roman"/>
          <w:color w:val="FF0000"/>
          <w:sz w:val="32"/>
          <w:szCs w:val="32"/>
        </w:rPr>
      </w:pPr>
    </w:p>
    <w:p w:rsidR="00F44335" w:rsidRPr="00047FB0" w:rsidRDefault="00F44335" w:rsidP="008020CD">
      <w:pPr>
        <w:widowControl w:val="0"/>
        <w:spacing w:after="0" w:line="240" w:lineRule="auto"/>
        <w:rPr>
          <w:rFonts w:ascii="Arial Black" w:hAnsi="Arial Black"/>
          <w:b/>
          <w:sz w:val="32"/>
          <w:szCs w:val="32"/>
          <w:u w:val="thick"/>
        </w:rPr>
      </w:pPr>
      <w:r w:rsidRPr="00047FB0">
        <w:rPr>
          <w:rFonts w:ascii="Arial Black" w:hAnsi="Arial Black"/>
          <w:b/>
          <w:sz w:val="32"/>
          <w:szCs w:val="32"/>
          <w:u w:val="thick"/>
        </w:rPr>
        <w:t>References</w:t>
      </w:r>
    </w:p>
    <w:p w:rsidR="00A76F96" w:rsidRPr="00047FB0" w:rsidRDefault="00A76F96" w:rsidP="008020CD">
      <w:pPr>
        <w:widowControl w:val="0"/>
        <w:spacing w:after="0" w:line="240" w:lineRule="auto"/>
        <w:rPr>
          <w:rFonts w:ascii="Arial Black" w:hAnsi="Arial Black"/>
          <w:b/>
          <w:sz w:val="32"/>
          <w:szCs w:val="32"/>
          <w:u w:val="thick"/>
        </w:rPr>
      </w:pPr>
    </w:p>
    <w:p w:rsidR="00A76F96" w:rsidRPr="00047FB0" w:rsidRDefault="00A76F96" w:rsidP="008020CD">
      <w:pPr>
        <w:widowControl w:val="0"/>
        <w:spacing w:after="0" w:line="240" w:lineRule="auto"/>
        <w:rPr>
          <w:rFonts w:ascii="Arial Black" w:hAnsi="Arial Black"/>
          <w:b/>
          <w:sz w:val="32"/>
          <w:szCs w:val="32"/>
          <w:u w:val="thick"/>
        </w:rPr>
      </w:pPr>
    </w:p>
    <w:p w:rsidR="00A76F96" w:rsidRPr="00047FB0" w:rsidRDefault="00A76F96" w:rsidP="008020CD">
      <w:pPr>
        <w:widowControl w:val="0"/>
        <w:spacing w:after="0" w:line="240" w:lineRule="auto"/>
        <w:rPr>
          <w:rFonts w:ascii="Arial Black" w:hAnsi="Arial Black"/>
          <w:b/>
          <w:sz w:val="32"/>
          <w:szCs w:val="32"/>
          <w:u w:val="thick"/>
        </w:rPr>
      </w:pPr>
      <w:r w:rsidRPr="00047FB0">
        <w:rPr>
          <w:rFonts w:ascii="Arial Black" w:hAnsi="Arial Black"/>
          <w:b/>
          <w:sz w:val="32"/>
          <w:szCs w:val="32"/>
          <w:u w:val="thick"/>
        </w:rPr>
        <w:t>Attachments</w:t>
      </w:r>
    </w:p>
    <w:p w:rsidR="0088374E" w:rsidRPr="00047FB0" w:rsidRDefault="0088374E" w:rsidP="008020CD">
      <w:pPr>
        <w:widowControl w:val="0"/>
        <w:spacing w:after="0" w:line="240" w:lineRule="auto"/>
        <w:rPr>
          <w:rFonts w:ascii="Arial Black" w:hAnsi="Arial Black"/>
          <w:b/>
          <w:sz w:val="32"/>
          <w:szCs w:val="32"/>
          <w:u w:val="thick"/>
        </w:rPr>
      </w:pPr>
    </w:p>
    <w:p w:rsidR="00B20348" w:rsidRPr="00047FB0" w:rsidRDefault="005460A5" w:rsidP="008020CD">
      <w:pPr>
        <w:widowControl w:val="0"/>
        <w:spacing w:after="0" w:line="240" w:lineRule="auto"/>
        <w:rPr>
          <w:rFonts w:ascii="Arial Black" w:hAnsi="Arial Black"/>
          <w:color w:val="FF0000"/>
          <w:sz w:val="32"/>
          <w:szCs w:val="32"/>
        </w:rPr>
      </w:pPr>
      <w:r w:rsidRPr="00047FB0">
        <w:rPr>
          <w:rFonts w:ascii="Arial Black" w:hAnsi="Arial Black"/>
          <w:color w:val="000000" w:themeColor="text1"/>
          <w:sz w:val="32"/>
          <w:szCs w:val="32"/>
          <w:u w:val="single"/>
        </w:rPr>
        <w:t>Currently</w:t>
      </w:r>
      <w:r w:rsidR="0088374E" w:rsidRPr="00047FB0">
        <w:rPr>
          <w:rFonts w:ascii="Arial Black" w:hAnsi="Arial Black"/>
          <w:color w:val="000000" w:themeColor="text1"/>
          <w:sz w:val="32"/>
          <w:szCs w:val="32"/>
          <w:u w:val="single"/>
        </w:rPr>
        <w:t xml:space="preserve"> </w:t>
      </w:r>
      <w:r w:rsidR="00291948" w:rsidRPr="00047FB0">
        <w:rPr>
          <w:rFonts w:ascii="Arial Black" w:hAnsi="Arial Black"/>
          <w:color w:val="000000" w:themeColor="text1"/>
          <w:sz w:val="32"/>
          <w:szCs w:val="32"/>
          <w:u w:val="single"/>
        </w:rPr>
        <w:t xml:space="preserve">F/A coverage </w:t>
      </w:r>
      <w:r w:rsidR="0088374E" w:rsidRPr="00047FB0">
        <w:rPr>
          <w:rFonts w:ascii="Arial Black" w:hAnsi="Arial Black"/>
          <w:color w:val="000000" w:themeColor="text1"/>
          <w:sz w:val="32"/>
          <w:szCs w:val="32"/>
          <w:u w:val="single"/>
        </w:rPr>
        <w:t xml:space="preserve">Provider list </w:t>
      </w:r>
    </w:p>
    <w:p w:rsidR="00B20348" w:rsidRPr="00047FB0" w:rsidRDefault="00B20348" w:rsidP="008020CD">
      <w:pPr>
        <w:widowControl w:val="0"/>
        <w:spacing w:after="0" w:line="240" w:lineRule="auto"/>
        <w:rPr>
          <w:rFonts w:ascii="Arial Black" w:hAnsi="Arial Black"/>
          <w:color w:val="FF0000"/>
          <w:sz w:val="32"/>
          <w:szCs w:val="32"/>
        </w:rPr>
      </w:pPr>
    </w:p>
    <w:p w:rsidR="00637382" w:rsidRPr="00047FB0" w:rsidRDefault="00637382" w:rsidP="00637382">
      <w:pPr>
        <w:rPr>
          <w:b/>
          <w:sz w:val="32"/>
          <w:szCs w:val="32"/>
        </w:rPr>
      </w:pPr>
      <w:r w:rsidRPr="00047FB0">
        <w:rPr>
          <w:b/>
          <w:sz w:val="32"/>
          <w:szCs w:val="32"/>
        </w:rPr>
        <w:t>Current provider list Financial Assistance coverage under CAH and Swing bed as of Aug 2019</w:t>
      </w:r>
    </w:p>
    <w:p w:rsidR="00637382" w:rsidRPr="00047FB0" w:rsidRDefault="00637382" w:rsidP="00637382">
      <w:pPr>
        <w:rPr>
          <w:b/>
          <w:sz w:val="32"/>
          <w:szCs w:val="32"/>
        </w:rPr>
      </w:pPr>
      <w:r w:rsidRPr="00047FB0">
        <w:rPr>
          <w:b/>
          <w:sz w:val="32"/>
          <w:szCs w:val="32"/>
        </w:rPr>
        <w:t>Included:</w:t>
      </w:r>
    </w:p>
    <w:p w:rsidR="00637382" w:rsidRPr="00047FB0" w:rsidRDefault="00637382" w:rsidP="00637382">
      <w:pPr>
        <w:rPr>
          <w:b/>
          <w:sz w:val="32"/>
          <w:szCs w:val="32"/>
        </w:rPr>
      </w:pPr>
      <w:r w:rsidRPr="00047FB0">
        <w:rPr>
          <w:b/>
          <w:sz w:val="32"/>
          <w:szCs w:val="32"/>
        </w:rPr>
        <w:t>Emergency Department Providers:</w:t>
      </w:r>
    </w:p>
    <w:p w:rsidR="00637382" w:rsidRPr="00047FB0" w:rsidRDefault="00E127CA" w:rsidP="00637382">
      <w:pPr>
        <w:rPr>
          <w:sz w:val="32"/>
          <w:szCs w:val="32"/>
        </w:rPr>
      </w:pPr>
      <w:r>
        <w:rPr>
          <w:sz w:val="32"/>
          <w:szCs w:val="32"/>
        </w:rPr>
        <w:t>Arnet,</w:t>
      </w:r>
      <w:r w:rsidR="00637382" w:rsidRPr="00047FB0">
        <w:rPr>
          <w:sz w:val="32"/>
          <w:szCs w:val="32"/>
        </w:rPr>
        <w:t>Krista  DO</w:t>
      </w:r>
    </w:p>
    <w:p w:rsidR="00637382" w:rsidRPr="00047FB0" w:rsidRDefault="00E127CA" w:rsidP="00637382">
      <w:pPr>
        <w:rPr>
          <w:sz w:val="32"/>
          <w:szCs w:val="32"/>
        </w:rPr>
      </w:pPr>
      <w:r>
        <w:rPr>
          <w:sz w:val="32"/>
          <w:szCs w:val="32"/>
        </w:rPr>
        <w:t xml:space="preserve">Arnet, </w:t>
      </w:r>
      <w:r w:rsidR="00637382" w:rsidRPr="00047FB0">
        <w:rPr>
          <w:sz w:val="32"/>
          <w:szCs w:val="32"/>
        </w:rPr>
        <w:t>Kyle  MD</w:t>
      </w:r>
    </w:p>
    <w:p w:rsidR="00637382" w:rsidRPr="00047FB0" w:rsidRDefault="00637382" w:rsidP="00637382">
      <w:pPr>
        <w:rPr>
          <w:sz w:val="32"/>
          <w:szCs w:val="32"/>
        </w:rPr>
      </w:pPr>
      <w:r w:rsidRPr="00047FB0">
        <w:rPr>
          <w:sz w:val="32"/>
          <w:szCs w:val="32"/>
        </w:rPr>
        <w:t>Liebers, Warren, MD</w:t>
      </w:r>
    </w:p>
    <w:p w:rsidR="00637382" w:rsidRPr="00047FB0" w:rsidRDefault="00637382" w:rsidP="00637382">
      <w:pPr>
        <w:rPr>
          <w:sz w:val="32"/>
          <w:szCs w:val="32"/>
        </w:rPr>
      </w:pPr>
      <w:r w:rsidRPr="00047FB0">
        <w:rPr>
          <w:sz w:val="32"/>
          <w:szCs w:val="32"/>
        </w:rPr>
        <w:t>Stevenson, Rae, MD</w:t>
      </w:r>
    </w:p>
    <w:p w:rsidR="00637382" w:rsidRPr="00047FB0" w:rsidRDefault="00637382" w:rsidP="00637382">
      <w:pPr>
        <w:rPr>
          <w:sz w:val="32"/>
          <w:szCs w:val="32"/>
        </w:rPr>
      </w:pPr>
      <w:r w:rsidRPr="00047FB0">
        <w:rPr>
          <w:sz w:val="32"/>
          <w:szCs w:val="32"/>
        </w:rPr>
        <w:t>Schulein, Mark, MD</w:t>
      </w:r>
    </w:p>
    <w:p w:rsidR="00637382" w:rsidRPr="00047FB0" w:rsidRDefault="00637382" w:rsidP="00637382">
      <w:pPr>
        <w:rPr>
          <w:sz w:val="32"/>
          <w:szCs w:val="32"/>
        </w:rPr>
      </w:pPr>
      <w:r w:rsidRPr="00047FB0">
        <w:rPr>
          <w:sz w:val="32"/>
          <w:szCs w:val="32"/>
        </w:rPr>
        <w:t>Wright, Raymond, MD</w:t>
      </w:r>
    </w:p>
    <w:p w:rsidR="00637382" w:rsidRPr="00047FB0" w:rsidRDefault="00637382" w:rsidP="00637382">
      <w:pPr>
        <w:rPr>
          <w:sz w:val="32"/>
          <w:szCs w:val="32"/>
        </w:rPr>
      </w:pPr>
      <w:r w:rsidRPr="00047FB0">
        <w:rPr>
          <w:sz w:val="32"/>
          <w:szCs w:val="32"/>
        </w:rPr>
        <w:t>Lange, Stefanie, MD</w:t>
      </w:r>
    </w:p>
    <w:p w:rsidR="00637382" w:rsidRPr="00047FB0" w:rsidRDefault="00637382" w:rsidP="00637382">
      <w:pPr>
        <w:rPr>
          <w:sz w:val="32"/>
          <w:szCs w:val="32"/>
        </w:rPr>
      </w:pPr>
    </w:p>
    <w:p w:rsidR="00637382" w:rsidRPr="00047FB0" w:rsidRDefault="00637382" w:rsidP="00637382">
      <w:pPr>
        <w:rPr>
          <w:b/>
          <w:sz w:val="32"/>
          <w:szCs w:val="32"/>
        </w:rPr>
      </w:pPr>
      <w:r w:rsidRPr="00047FB0">
        <w:rPr>
          <w:b/>
          <w:sz w:val="32"/>
          <w:szCs w:val="32"/>
        </w:rPr>
        <w:t xml:space="preserve">Other Hospital Providers: </w:t>
      </w:r>
    </w:p>
    <w:p w:rsidR="00637382" w:rsidRPr="00047FB0" w:rsidRDefault="00637382" w:rsidP="00637382">
      <w:pPr>
        <w:rPr>
          <w:sz w:val="32"/>
          <w:szCs w:val="32"/>
        </w:rPr>
      </w:pPr>
      <w:r w:rsidRPr="00047FB0">
        <w:rPr>
          <w:sz w:val="32"/>
          <w:szCs w:val="32"/>
        </w:rPr>
        <w:t>Burbach, Brynn CRNA</w:t>
      </w:r>
    </w:p>
    <w:p w:rsidR="00637382" w:rsidRPr="00047FB0" w:rsidRDefault="00637382" w:rsidP="00637382">
      <w:pPr>
        <w:rPr>
          <w:sz w:val="32"/>
          <w:szCs w:val="32"/>
        </w:rPr>
      </w:pPr>
      <w:r w:rsidRPr="00047FB0">
        <w:rPr>
          <w:sz w:val="32"/>
          <w:szCs w:val="32"/>
        </w:rPr>
        <w:t>Clare, Chelsey, RDN</w:t>
      </w:r>
    </w:p>
    <w:p w:rsidR="00637382" w:rsidRPr="00047FB0" w:rsidRDefault="00637382" w:rsidP="00637382">
      <w:pPr>
        <w:rPr>
          <w:sz w:val="32"/>
          <w:szCs w:val="32"/>
        </w:rPr>
      </w:pPr>
      <w:r w:rsidRPr="00047FB0">
        <w:rPr>
          <w:sz w:val="32"/>
          <w:szCs w:val="32"/>
        </w:rPr>
        <w:t>Coleman, Paula, CPNP</w:t>
      </w:r>
    </w:p>
    <w:p w:rsidR="00637382" w:rsidRPr="00047FB0" w:rsidRDefault="00637382" w:rsidP="00637382">
      <w:pPr>
        <w:rPr>
          <w:sz w:val="32"/>
          <w:szCs w:val="32"/>
        </w:rPr>
      </w:pPr>
      <w:r w:rsidRPr="00047FB0">
        <w:rPr>
          <w:sz w:val="32"/>
          <w:szCs w:val="32"/>
        </w:rPr>
        <w:t>Coleman, Scott, MD</w:t>
      </w:r>
    </w:p>
    <w:p w:rsidR="00637382" w:rsidRPr="00047FB0" w:rsidRDefault="00637382" w:rsidP="00637382">
      <w:pPr>
        <w:rPr>
          <w:sz w:val="32"/>
          <w:szCs w:val="32"/>
        </w:rPr>
      </w:pPr>
      <w:r w:rsidRPr="00047FB0">
        <w:rPr>
          <w:sz w:val="32"/>
          <w:szCs w:val="32"/>
        </w:rPr>
        <w:t>DiCross, Heather, MD</w:t>
      </w:r>
    </w:p>
    <w:p w:rsidR="00637382" w:rsidRPr="00047FB0" w:rsidRDefault="00637382" w:rsidP="00637382">
      <w:pPr>
        <w:rPr>
          <w:sz w:val="32"/>
          <w:szCs w:val="32"/>
        </w:rPr>
      </w:pPr>
      <w:r w:rsidRPr="00047FB0">
        <w:rPr>
          <w:sz w:val="32"/>
          <w:szCs w:val="32"/>
        </w:rPr>
        <w:t>Flook, Benjamin, MD</w:t>
      </w:r>
    </w:p>
    <w:p w:rsidR="00637382" w:rsidRPr="00047FB0" w:rsidRDefault="00637382" w:rsidP="00637382">
      <w:pPr>
        <w:rPr>
          <w:sz w:val="32"/>
          <w:szCs w:val="32"/>
        </w:rPr>
      </w:pPr>
      <w:r w:rsidRPr="00047FB0">
        <w:rPr>
          <w:sz w:val="32"/>
          <w:szCs w:val="32"/>
        </w:rPr>
        <w:t>Helin, Denise, MD</w:t>
      </w:r>
    </w:p>
    <w:p w:rsidR="00637382" w:rsidRPr="00047FB0" w:rsidRDefault="00637382" w:rsidP="00637382">
      <w:pPr>
        <w:rPr>
          <w:sz w:val="32"/>
          <w:szCs w:val="32"/>
        </w:rPr>
      </w:pPr>
      <w:r w:rsidRPr="00047FB0">
        <w:rPr>
          <w:sz w:val="32"/>
          <w:szCs w:val="32"/>
        </w:rPr>
        <w:t>Higgs, Julie, CRNA</w:t>
      </w:r>
    </w:p>
    <w:p w:rsidR="00637382" w:rsidRPr="00047FB0" w:rsidRDefault="00637382" w:rsidP="00637382">
      <w:pPr>
        <w:rPr>
          <w:sz w:val="32"/>
          <w:szCs w:val="32"/>
        </w:rPr>
      </w:pPr>
      <w:r w:rsidRPr="00047FB0">
        <w:rPr>
          <w:sz w:val="32"/>
          <w:szCs w:val="32"/>
        </w:rPr>
        <w:t>Higgs, Mark, MD, CRNA</w:t>
      </w:r>
    </w:p>
    <w:p w:rsidR="00637382" w:rsidRPr="00047FB0" w:rsidRDefault="00637382" w:rsidP="00637382">
      <w:pPr>
        <w:rPr>
          <w:sz w:val="32"/>
          <w:szCs w:val="32"/>
        </w:rPr>
      </w:pPr>
      <w:r w:rsidRPr="00047FB0">
        <w:rPr>
          <w:sz w:val="32"/>
          <w:szCs w:val="32"/>
        </w:rPr>
        <w:t>Nicol, William, CRNA</w:t>
      </w:r>
    </w:p>
    <w:p w:rsidR="00637382" w:rsidRPr="00047FB0" w:rsidRDefault="00637382" w:rsidP="00637382">
      <w:pPr>
        <w:rPr>
          <w:sz w:val="32"/>
          <w:szCs w:val="32"/>
        </w:rPr>
      </w:pPr>
      <w:r w:rsidRPr="00047FB0">
        <w:rPr>
          <w:sz w:val="32"/>
          <w:szCs w:val="32"/>
        </w:rPr>
        <w:t>Palm, Grant, CRNA</w:t>
      </w:r>
    </w:p>
    <w:p w:rsidR="00637382" w:rsidRPr="00047FB0" w:rsidRDefault="00637382" w:rsidP="00637382">
      <w:pPr>
        <w:rPr>
          <w:sz w:val="32"/>
          <w:szCs w:val="32"/>
        </w:rPr>
      </w:pPr>
      <w:r w:rsidRPr="00047FB0">
        <w:rPr>
          <w:sz w:val="32"/>
          <w:szCs w:val="32"/>
        </w:rPr>
        <w:t>Pinango, Henry, MD</w:t>
      </w:r>
    </w:p>
    <w:p w:rsidR="00637382" w:rsidRPr="00047FB0" w:rsidRDefault="00637382" w:rsidP="00637382">
      <w:pPr>
        <w:rPr>
          <w:sz w:val="32"/>
          <w:szCs w:val="32"/>
        </w:rPr>
      </w:pPr>
      <w:r w:rsidRPr="00047FB0">
        <w:rPr>
          <w:sz w:val="32"/>
          <w:szCs w:val="32"/>
        </w:rPr>
        <w:t>Pinango, Kyra, MD</w:t>
      </w:r>
    </w:p>
    <w:p w:rsidR="00637382" w:rsidRPr="00047FB0" w:rsidRDefault="00637382" w:rsidP="00637382">
      <w:pPr>
        <w:rPr>
          <w:sz w:val="32"/>
          <w:szCs w:val="32"/>
        </w:rPr>
      </w:pPr>
      <w:r w:rsidRPr="00047FB0">
        <w:rPr>
          <w:sz w:val="32"/>
          <w:szCs w:val="32"/>
        </w:rPr>
        <w:t>Powell, David, LCSW</w:t>
      </w:r>
    </w:p>
    <w:p w:rsidR="00637382" w:rsidRPr="00047FB0" w:rsidRDefault="00637382" w:rsidP="00637382">
      <w:pPr>
        <w:rPr>
          <w:sz w:val="32"/>
          <w:szCs w:val="32"/>
        </w:rPr>
      </w:pPr>
      <w:r w:rsidRPr="00047FB0">
        <w:rPr>
          <w:sz w:val="32"/>
          <w:szCs w:val="32"/>
        </w:rPr>
        <w:t>Raboy, Judith , NP wound care</w:t>
      </w:r>
    </w:p>
    <w:p w:rsidR="00637382" w:rsidRPr="00047FB0" w:rsidRDefault="00637382" w:rsidP="00637382">
      <w:pPr>
        <w:rPr>
          <w:sz w:val="32"/>
          <w:szCs w:val="32"/>
        </w:rPr>
      </w:pPr>
      <w:r w:rsidRPr="00047FB0">
        <w:rPr>
          <w:sz w:val="32"/>
          <w:szCs w:val="32"/>
        </w:rPr>
        <w:t>Reid, Genevieve, MD</w:t>
      </w:r>
    </w:p>
    <w:p w:rsidR="00637382" w:rsidRPr="00047FB0" w:rsidRDefault="00637382" w:rsidP="00637382">
      <w:pPr>
        <w:rPr>
          <w:sz w:val="32"/>
          <w:szCs w:val="32"/>
        </w:rPr>
      </w:pPr>
      <w:r w:rsidRPr="00047FB0">
        <w:rPr>
          <w:sz w:val="32"/>
          <w:szCs w:val="32"/>
        </w:rPr>
        <w:t>Reyna, Joseph, CRNA</w:t>
      </w:r>
    </w:p>
    <w:p w:rsidR="00637382" w:rsidRPr="00047FB0" w:rsidRDefault="00637382" w:rsidP="00637382">
      <w:pPr>
        <w:rPr>
          <w:sz w:val="32"/>
          <w:szCs w:val="32"/>
        </w:rPr>
      </w:pPr>
      <w:r w:rsidRPr="00047FB0">
        <w:rPr>
          <w:sz w:val="32"/>
          <w:szCs w:val="32"/>
        </w:rPr>
        <w:t>Roberts, Justin, MD</w:t>
      </w:r>
    </w:p>
    <w:p w:rsidR="00637382" w:rsidRPr="00047FB0" w:rsidRDefault="00637382" w:rsidP="00637382">
      <w:pPr>
        <w:rPr>
          <w:sz w:val="32"/>
          <w:szCs w:val="32"/>
        </w:rPr>
      </w:pPr>
      <w:r w:rsidRPr="00047FB0">
        <w:rPr>
          <w:sz w:val="32"/>
          <w:szCs w:val="32"/>
        </w:rPr>
        <w:t>Roll, Bonnie, CNM, WHCNP</w:t>
      </w:r>
    </w:p>
    <w:p w:rsidR="00637382" w:rsidRPr="00047FB0" w:rsidRDefault="00637382" w:rsidP="00637382">
      <w:pPr>
        <w:rPr>
          <w:sz w:val="32"/>
          <w:szCs w:val="32"/>
        </w:rPr>
      </w:pPr>
      <w:r w:rsidRPr="00047FB0">
        <w:rPr>
          <w:sz w:val="32"/>
          <w:szCs w:val="32"/>
        </w:rPr>
        <w:t>Scofield, Ted, MD</w:t>
      </w:r>
    </w:p>
    <w:p w:rsidR="00637382" w:rsidRPr="00047FB0" w:rsidRDefault="00637382" w:rsidP="00637382">
      <w:pPr>
        <w:rPr>
          <w:sz w:val="32"/>
          <w:szCs w:val="32"/>
        </w:rPr>
      </w:pPr>
      <w:r w:rsidRPr="00047FB0">
        <w:rPr>
          <w:sz w:val="32"/>
          <w:szCs w:val="32"/>
        </w:rPr>
        <w:t>Sullivan, Kelsey, PA</w:t>
      </w:r>
    </w:p>
    <w:p w:rsidR="00637382" w:rsidRPr="00047FB0" w:rsidRDefault="00637382" w:rsidP="00637382">
      <w:pPr>
        <w:rPr>
          <w:sz w:val="32"/>
          <w:szCs w:val="32"/>
        </w:rPr>
      </w:pPr>
      <w:r w:rsidRPr="00047FB0">
        <w:rPr>
          <w:sz w:val="32"/>
          <w:szCs w:val="32"/>
        </w:rPr>
        <w:t>Swarny, Bruce , MD</w:t>
      </w:r>
    </w:p>
    <w:p w:rsidR="00637382" w:rsidRPr="00047FB0" w:rsidRDefault="00637382" w:rsidP="00637382">
      <w:pPr>
        <w:rPr>
          <w:sz w:val="32"/>
          <w:szCs w:val="32"/>
        </w:rPr>
      </w:pPr>
      <w:r w:rsidRPr="00047FB0">
        <w:rPr>
          <w:sz w:val="32"/>
          <w:szCs w:val="32"/>
        </w:rPr>
        <w:t>Wadle, Douglass, MD</w:t>
      </w:r>
    </w:p>
    <w:p w:rsidR="00637382" w:rsidRPr="00047FB0" w:rsidRDefault="00637382" w:rsidP="00637382">
      <w:pPr>
        <w:rPr>
          <w:sz w:val="32"/>
          <w:szCs w:val="32"/>
        </w:rPr>
      </w:pPr>
      <w:r w:rsidRPr="00047FB0">
        <w:rPr>
          <w:sz w:val="32"/>
          <w:szCs w:val="32"/>
        </w:rPr>
        <w:t>Walker, Kelly, MD</w:t>
      </w:r>
    </w:p>
    <w:p w:rsidR="00637382" w:rsidRPr="00047FB0" w:rsidRDefault="00637382" w:rsidP="00637382">
      <w:pPr>
        <w:rPr>
          <w:sz w:val="32"/>
          <w:szCs w:val="32"/>
        </w:rPr>
      </w:pPr>
      <w:r w:rsidRPr="00047FB0">
        <w:rPr>
          <w:sz w:val="32"/>
          <w:szCs w:val="32"/>
        </w:rPr>
        <w:t>Willmann, Erin, CRNA</w:t>
      </w:r>
    </w:p>
    <w:p w:rsidR="00637382" w:rsidRPr="00047FB0" w:rsidRDefault="00637382" w:rsidP="00637382">
      <w:pPr>
        <w:rPr>
          <w:b/>
          <w:sz w:val="32"/>
          <w:szCs w:val="32"/>
        </w:rPr>
      </w:pPr>
      <w:r w:rsidRPr="00047FB0">
        <w:rPr>
          <w:b/>
          <w:sz w:val="32"/>
          <w:szCs w:val="32"/>
        </w:rPr>
        <w:t xml:space="preserve">All Radiology professional “reading fees” are billed by Livingston HealthCare and are covered under this F/A policy. </w:t>
      </w:r>
    </w:p>
    <w:p w:rsidR="00637382" w:rsidRDefault="00637382" w:rsidP="00637382">
      <w:pPr>
        <w:rPr>
          <w:b/>
          <w:sz w:val="32"/>
          <w:szCs w:val="32"/>
        </w:rPr>
      </w:pPr>
      <w:r w:rsidRPr="00047FB0">
        <w:rPr>
          <w:b/>
          <w:sz w:val="32"/>
          <w:szCs w:val="32"/>
        </w:rPr>
        <w:t>Excluded :</w:t>
      </w:r>
    </w:p>
    <w:p w:rsidR="002C0D92" w:rsidRPr="00047FB0" w:rsidRDefault="002C0D92" w:rsidP="00637382">
      <w:pPr>
        <w:rPr>
          <w:b/>
          <w:sz w:val="32"/>
          <w:szCs w:val="32"/>
        </w:rPr>
      </w:pPr>
      <w:r>
        <w:rPr>
          <w:b/>
          <w:sz w:val="32"/>
          <w:szCs w:val="32"/>
        </w:rPr>
        <w:t>Livingston HealthCare Urgent Care Clinic</w:t>
      </w:r>
      <w:bookmarkStart w:id="4" w:name="_GoBack"/>
      <w:bookmarkEnd w:id="4"/>
    </w:p>
    <w:p w:rsidR="00637382" w:rsidRPr="00047FB0" w:rsidRDefault="00637382" w:rsidP="00637382">
      <w:pPr>
        <w:rPr>
          <w:b/>
          <w:sz w:val="32"/>
          <w:szCs w:val="32"/>
        </w:rPr>
      </w:pPr>
      <w:r w:rsidRPr="00047FB0">
        <w:rPr>
          <w:b/>
          <w:sz w:val="32"/>
          <w:szCs w:val="32"/>
        </w:rPr>
        <w:t xml:space="preserve">Outreach Billings Clinic Radiologists performing interventional patient procedures. </w:t>
      </w:r>
    </w:p>
    <w:p w:rsidR="00637382" w:rsidRPr="00047FB0" w:rsidRDefault="00637382" w:rsidP="00637382">
      <w:pPr>
        <w:rPr>
          <w:b/>
          <w:sz w:val="32"/>
          <w:szCs w:val="32"/>
        </w:rPr>
      </w:pPr>
      <w:r w:rsidRPr="00047FB0">
        <w:rPr>
          <w:b/>
          <w:sz w:val="32"/>
          <w:szCs w:val="32"/>
        </w:rPr>
        <w:t xml:space="preserve">Outreach Billings Clinic Oncologists </w:t>
      </w:r>
    </w:p>
    <w:p w:rsidR="00637382" w:rsidRPr="00047FB0" w:rsidRDefault="00637382" w:rsidP="00637382">
      <w:pPr>
        <w:rPr>
          <w:b/>
          <w:sz w:val="32"/>
          <w:szCs w:val="32"/>
        </w:rPr>
      </w:pPr>
      <w:r w:rsidRPr="00047FB0">
        <w:rPr>
          <w:b/>
          <w:sz w:val="32"/>
          <w:szCs w:val="32"/>
        </w:rPr>
        <w:t>Outreach Eyecare professionals providers</w:t>
      </w:r>
    </w:p>
    <w:p w:rsidR="00637382" w:rsidRPr="00047FB0" w:rsidRDefault="00637382" w:rsidP="00637382">
      <w:pPr>
        <w:rPr>
          <w:b/>
          <w:sz w:val="32"/>
          <w:szCs w:val="32"/>
        </w:rPr>
      </w:pPr>
      <w:r w:rsidRPr="00047FB0">
        <w:rPr>
          <w:b/>
          <w:sz w:val="32"/>
          <w:szCs w:val="32"/>
        </w:rPr>
        <w:t xml:space="preserve">Outreach Oculoplastics Peckinpaugh, Jeffrey, MD </w:t>
      </w:r>
    </w:p>
    <w:p w:rsidR="00637382" w:rsidRPr="00047FB0" w:rsidRDefault="00637382" w:rsidP="00637382">
      <w:pPr>
        <w:rPr>
          <w:b/>
          <w:sz w:val="32"/>
          <w:szCs w:val="32"/>
        </w:rPr>
      </w:pPr>
      <w:r w:rsidRPr="00047FB0">
        <w:rPr>
          <w:b/>
          <w:sz w:val="32"/>
          <w:szCs w:val="32"/>
        </w:rPr>
        <w:t>Outreach Bridger ortho providers</w:t>
      </w:r>
    </w:p>
    <w:p w:rsidR="00637382" w:rsidRPr="00047FB0" w:rsidRDefault="00637382" w:rsidP="00637382">
      <w:pPr>
        <w:rPr>
          <w:b/>
          <w:sz w:val="32"/>
          <w:szCs w:val="32"/>
        </w:rPr>
      </w:pPr>
      <w:r w:rsidRPr="00047FB0">
        <w:rPr>
          <w:b/>
          <w:sz w:val="32"/>
          <w:szCs w:val="32"/>
        </w:rPr>
        <w:t>Reference Labs</w:t>
      </w:r>
    </w:p>
    <w:p w:rsidR="00637382" w:rsidRPr="00047FB0" w:rsidRDefault="00637382" w:rsidP="00637382">
      <w:pPr>
        <w:rPr>
          <w:b/>
          <w:sz w:val="32"/>
          <w:szCs w:val="32"/>
        </w:rPr>
      </w:pPr>
      <w:r w:rsidRPr="00047FB0">
        <w:rPr>
          <w:b/>
          <w:sz w:val="32"/>
          <w:szCs w:val="32"/>
        </w:rPr>
        <w:t xml:space="preserve">Pathology services </w:t>
      </w:r>
    </w:p>
    <w:p w:rsidR="00637382" w:rsidRPr="00047FB0" w:rsidRDefault="00637382" w:rsidP="00637382">
      <w:pPr>
        <w:spacing w:after="0" w:line="240" w:lineRule="auto"/>
        <w:rPr>
          <w:rFonts w:ascii="Arial" w:hAnsi="Arial" w:cs="Arial"/>
          <w:sz w:val="32"/>
          <w:szCs w:val="32"/>
        </w:rPr>
      </w:pPr>
    </w:p>
    <w:p w:rsidR="00B20348" w:rsidRPr="00047FB0" w:rsidRDefault="00B20348" w:rsidP="008020CD">
      <w:pPr>
        <w:widowControl w:val="0"/>
        <w:spacing w:after="0" w:line="240" w:lineRule="auto"/>
        <w:rPr>
          <w:rFonts w:ascii="Arial Black" w:hAnsi="Arial Black"/>
          <w:color w:val="FF0000"/>
          <w:sz w:val="32"/>
          <w:szCs w:val="32"/>
        </w:rPr>
      </w:pPr>
    </w:p>
    <w:p w:rsidR="003847DF" w:rsidRPr="00047FB0" w:rsidRDefault="003847DF" w:rsidP="008020CD">
      <w:pPr>
        <w:widowControl w:val="0"/>
        <w:spacing w:after="0" w:line="240" w:lineRule="auto"/>
        <w:rPr>
          <w:rFonts w:ascii="Arial Black" w:hAnsi="Arial Black"/>
          <w:color w:val="FF0000"/>
          <w:sz w:val="32"/>
          <w:szCs w:val="32"/>
          <w:u w:val="single"/>
        </w:rPr>
      </w:pPr>
    </w:p>
    <w:p w:rsidR="003847DF" w:rsidRPr="00047FB0" w:rsidRDefault="003847DF" w:rsidP="008020CD">
      <w:pPr>
        <w:widowControl w:val="0"/>
        <w:spacing w:after="0" w:line="240" w:lineRule="auto"/>
        <w:rPr>
          <w:rFonts w:ascii="Arial Black" w:hAnsi="Arial Black"/>
          <w:color w:val="FF0000"/>
          <w:sz w:val="32"/>
          <w:szCs w:val="32"/>
          <w:u w:val="single"/>
        </w:rPr>
      </w:pPr>
    </w:p>
    <w:p w:rsidR="003847DF" w:rsidRPr="00047FB0" w:rsidRDefault="003847DF" w:rsidP="008020CD">
      <w:pPr>
        <w:widowControl w:val="0"/>
        <w:spacing w:after="0" w:line="240" w:lineRule="auto"/>
        <w:rPr>
          <w:rFonts w:ascii="Arial Black" w:hAnsi="Arial Black"/>
          <w:color w:val="FF0000"/>
          <w:sz w:val="32"/>
          <w:szCs w:val="32"/>
          <w:u w:val="single"/>
        </w:rPr>
      </w:pPr>
    </w:p>
    <w:p w:rsidR="003847DF" w:rsidRPr="00047FB0" w:rsidRDefault="003847DF" w:rsidP="008020CD">
      <w:pPr>
        <w:widowControl w:val="0"/>
        <w:spacing w:after="0" w:line="240" w:lineRule="auto"/>
        <w:rPr>
          <w:rFonts w:ascii="Arial Black" w:hAnsi="Arial Black"/>
          <w:color w:val="FF0000"/>
          <w:sz w:val="32"/>
          <w:szCs w:val="32"/>
          <w:u w:val="single"/>
        </w:rPr>
      </w:pPr>
    </w:p>
    <w:p w:rsidR="003847DF" w:rsidRPr="00047FB0" w:rsidRDefault="003847DF" w:rsidP="008020CD">
      <w:pPr>
        <w:widowControl w:val="0"/>
        <w:spacing w:after="0" w:line="240" w:lineRule="auto"/>
        <w:rPr>
          <w:rFonts w:ascii="Arial Black" w:hAnsi="Arial Black"/>
          <w:color w:val="FF0000"/>
          <w:sz w:val="32"/>
          <w:szCs w:val="32"/>
          <w:u w:val="single"/>
        </w:rPr>
      </w:pPr>
    </w:p>
    <w:p w:rsidR="003847DF" w:rsidRPr="00047FB0" w:rsidRDefault="003847DF" w:rsidP="008020CD">
      <w:pPr>
        <w:widowControl w:val="0"/>
        <w:spacing w:after="0" w:line="240" w:lineRule="auto"/>
        <w:rPr>
          <w:rFonts w:ascii="Arial Black" w:hAnsi="Arial Black"/>
          <w:color w:val="FF0000"/>
          <w:sz w:val="32"/>
          <w:szCs w:val="32"/>
          <w:u w:val="single"/>
        </w:rPr>
      </w:pPr>
    </w:p>
    <w:p w:rsidR="003847DF" w:rsidRPr="00047FB0" w:rsidRDefault="003847DF" w:rsidP="008020CD">
      <w:pPr>
        <w:widowControl w:val="0"/>
        <w:spacing w:after="0" w:line="240" w:lineRule="auto"/>
        <w:rPr>
          <w:rFonts w:ascii="Arial Black" w:hAnsi="Arial Black"/>
          <w:color w:val="FF0000"/>
          <w:sz w:val="32"/>
          <w:szCs w:val="32"/>
          <w:u w:val="single"/>
        </w:rPr>
      </w:pPr>
    </w:p>
    <w:p w:rsidR="003847DF" w:rsidRPr="00047FB0" w:rsidRDefault="003847DF" w:rsidP="008020CD">
      <w:pPr>
        <w:widowControl w:val="0"/>
        <w:spacing w:after="0" w:line="240" w:lineRule="auto"/>
        <w:rPr>
          <w:rFonts w:ascii="Arial Black" w:hAnsi="Arial Black"/>
          <w:color w:val="FF0000"/>
          <w:sz w:val="32"/>
          <w:szCs w:val="32"/>
          <w:u w:val="single"/>
        </w:rPr>
      </w:pPr>
    </w:p>
    <w:p w:rsidR="003847DF" w:rsidRPr="00047FB0" w:rsidRDefault="003847DF" w:rsidP="008020CD">
      <w:pPr>
        <w:widowControl w:val="0"/>
        <w:spacing w:after="0" w:line="240" w:lineRule="auto"/>
        <w:rPr>
          <w:rFonts w:ascii="Arial Black" w:hAnsi="Arial Black"/>
          <w:color w:val="FF0000"/>
          <w:sz w:val="32"/>
          <w:szCs w:val="32"/>
          <w:u w:val="single"/>
        </w:rPr>
      </w:pPr>
    </w:p>
    <w:p w:rsidR="003847DF" w:rsidRPr="00047FB0" w:rsidRDefault="003847DF" w:rsidP="008020CD">
      <w:pPr>
        <w:widowControl w:val="0"/>
        <w:spacing w:after="0" w:line="240" w:lineRule="auto"/>
        <w:rPr>
          <w:rFonts w:ascii="Arial Black" w:hAnsi="Arial Black"/>
          <w:color w:val="FF0000"/>
          <w:sz w:val="32"/>
          <w:szCs w:val="32"/>
        </w:rPr>
      </w:pPr>
    </w:p>
    <w:p w:rsidR="00F44335" w:rsidRPr="00047FB0" w:rsidRDefault="00F44335" w:rsidP="008020CD">
      <w:pPr>
        <w:spacing w:after="0" w:line="240" w:lineRule="auto"/>
        <w:rPr>
          <w:rFonts w:ascii="Arial Black" w:hAnsi="Arial Black"/>
          <w:b/>
          <w:sz w:val="32"/>
          <w:szCs w:val="32"/>
          <w:u w:val="thick"/>
        </w:rPr>
      </w:pPr>
    </w:p>
    <w:p w:rsidR="00A76F96" w:rsidRPr="00047FB0" w:rsidRDefault="00A76F96" w:rsidP="008020CD">
      <w:pPr>
        <w:spacing w:after="0" w:line="240" w:lineRule="auto"/>
        <w:rPr>
          <w:rFonts w:ascii="Arial Black" w:hAnsi="Arial Black"/>
          <w:b/>
          <w:sz w:val="32"/>
          <w:szCs w:val="32"/>
          <w:u w:val="thick"/>
        </w:rPr>
      </w:pPr>
    </w:p>
    <w:p w:rsidR="00A76F96" w:rsidRPr="00047FB0" w:rsidRDefault="00A76F96" w:rsidP="008020CD">
      <w:pPr>
        <w:spacing w:after="0" w:line="240" w:lineRule="auto"/>
        <w:rPr>
          <w:rFonts w:ascii="Arial" w:hAnsi="Arial" w:cs="Arial"/>
          <w:sz w:val="32"/>
          <w:szCs w:val="32"/>
        </w:rPr>
      </w:pPr>
    </w:p>
    <w:p w:rsidR="00592BC8" w:rsidRPr="00047FB0" w:rsidRDefault="00592BC8" w:rsidP="008020CD">
      <w:pPr>
        <w:spacing w:after="0" w:line="240" w:lineRule="auto"/>
        <w:rPr>
          <w:rFonts w:ascii="Arial" w:hAnsi="Arial" w:cs="Arial"/>
          <w:sz w:val="32"/>
          <w:szCs w:val="32"/>
        </w:rPr>
      </w:pPr>
    </w:p>
    <w:p w:rsidR="00592BC8" w:rsidRPr="00047FB0" w:rsidRDefault="00592BC8" w:rsidP="00592BC8">
      <w:pPr>
        <w:rPr>
          <w:rFonts w:ascii="Times New Roman" w:hAnsi="Times New Roman"/>
          <w:b/>
          <w:caps/>
          <w:sz w:val="32"/>
          <w:szCs w:val="32"/>
        </w:rPr>
      </w:pPr>
    </w:p>
    <w:p w:rsidR="00592BC8" w:rsidRPr="00047FB0" w:rsidRDefault="00592BC8" w:rsidP="00592BC8">
      <w:pPr>
        <w:contextualSpacing/>
        <w:rPr>
          <w:rFonts w:ascii="Arial" w:hAnsi="Arial" w:cs="Arial"/>
          <w:b/>
          <w:caps/>
          <w:sz w:val="32"/>
          <w:szCs w:val="32"/>
        </w:rPr>
      </w:pPr>
    </w:p>
    <w:sectPr w:rsidR="00592BC8" w:rsidRPr="00047FB0" w:rsidSect="008020CD">
      <w:footerReference w:type="default" r:id="rId9"/>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EF" w:rsidRDefault="009348EF" w:rsidP="008020CD">
      <w:pPr>
        <w:spacing w:after="0" w:line="240" w:lineRule="auto"/>
      </w:pPr>
      <w:r>
        <w:separator/>
      </w:r>
    </w:p>
  </w:endnote>
  <w:endnote w:type="continuationSeparator" w:id="0">
    <w:p w:rsidR="009348EF" w:rsidRDefault="009348EF" w:rsidP="0080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ED" w:rsidRPr="008020CD" w:rsidRDefault="001C487F">
    <w:pPr>
      <w:pStyle w:val="Footer"/>
      <w:rPr>
        <w:rFonts w:ascii="Arial" w:hAnsi="Arial" w:cs="Arial"/>
        <w:sz w:val="14"/>
        <w:szCs w:val="14"/>
      </w:rPr>
    </w:pPr>
    <w:r>
      <w:rPr>
        <w:rFonts w:ascii="Arial" w:hAnsi="Arial" w:cs="Arial"/>
        <w:sz w:val="14"/>
        <w:szCs w:val="14"/>
      </w:rPr>
      <w:t>Policy Name &amp; Number:</w:t>
    </w:r>
    <w:r>
      <w:rPr>
        <w:rFonts w:ascii="Arial" w:hAnsi="Arial" w:cs="Arial"/>
        <w:sz w:val="14"/>
        <w:szCs w:val="14"/>
      </w:rPr>
      <w:tab/>
    </w:r>
    <w:r>
      <w:rPr>
        <w:rFonts w:ascii="Arial" w:hAnsi="Arial" w:cs="Arial"/>
        <w:sz w:val="14"/>
        <w:szCs w:val="14"/>
      </w:rPr>
      <w:tab/>
    </w:r>
    <w:r w:rsidR="002B19ED">
      <w:rPr>
        <w:rFonts w:ascii="Arial" w:hAnsi="Arial" w:cs="Arial"/>
        <w:sz w:val="14"/>
        <w:szCs w:val="14"/>
      </w:rPr>
      <w:t xml:space="preserve">      </w:t>
    </w:r>
    <w:r w:rsidR="002B19ED" w:rsidRPr="008020CD">
      <w:rPr>
        <w:rFonts w:ascii="Arial" w:hAnsi="Arial" w:cs="Arial"/>
        <w:sz w:val="14"/>
        <w:szCs w:val="14"/>
      </w:rPr>
      <w:t xml:space="preserve">Page </w:t>
    </w:r>
    <w:r w:rsidR="002B19ED" w:rsidRPr="008020CD">
      <w:rPr>
        <w:rFonts w:ascii="Arial" w:hAnsi="Arial" w:cs="Arial"/>
        <w:b/>
        <w:bCs/>
        <w:sz w:val="14"/>
        <w:szCs w:val="14"/>
      </w:rPr>
      <w:fldChar w:fldCharType="begin"/>
    </w:r>
    <w:r w:rsidR="002B19ED" w:rsidRPr="008020CD">
      <w:rPr>
        <w:rFonts w:ascii="Arial" w:hAnsi="Arial" w:cs="Arial"/>
        <w:b/>
        <w:bCs/>
        <w:sz w:val="14"/>
        <w:szCs w:val="14"/>
      </w:rPr>
      <w:instrText xml:space="preserve"> PAGE  \* Arabic  \* MERGEFORMAT </w:instrText>
    </w:r>
    <w:r w:rsidR="002B19ED" w:rsidRPr="008020CD">
      <w:rPr>
        <w:rFonts w:ascii="Arial" w:hAnsi="Arial" w:cs="Arial"/>
        <w:b/>
        <w:bCs/>
        <w:sz w:val="14"/>
        <w:szCs w:val="14"/>
      </w:rPr>
      <w:fldChar w:fldCharType="separate"/>
    </w:r>
    <w:r w:rsidR="00855B73">
      <w:rPr>
        <w:rFonts w:ascii="Arial" w:hAnsi="Arial" w:cs="Arial"/>
        <w:b/>
        <w:bCs/>
        <w:noProof/>
        <w:sz w:val="14"/>
        <w:szCs w:val="14"/>
      </w:rPr>
      <w:t>2</w:t>
    </w:r>
    <w:r w:rsidR="002B19ED" w:rsidRPr="008020CD">
      <w:rPr>
        <w:rFonts w:ascii="Arial" w:hAnsi="Arial" w:cs="Arial"/>
        <w:b/>
        <w:bCs/>
        <w:sz w:val="14"/>
        <w:szCs w:val="14"/>
      </w:rPr>
      <w:fldChar w:fldCharType="end"/>
    </w:r>
    <w:r w:rsidR="002B19ED" w:rsidRPr="008020CD">
      <w:rPr>
        <w:rFonts w:ascii="Arial" w:hAnsi="Arial" w:cs="Arial"/>
        <w:sz w:val="14"/>
        <w:szCs w:val="14"/>
      </w:rPr>
      <w:t xml:space="preserve"> of </w:t>
    </w:r>
    <w:r w:rsidR="002B19ED" w:rsidRPr="008020CD">
      <w:rPr>
        <w:rFonts w:ascii="Arial" w:hAnsi="Arial" w:cs="Arial"/>
        <w:b/>
        <w:bCs/>
        <w:sz w:val="14"/>
        <w:szCs w:val="14"/>
      </w:rPr>
      <w:fldChar w:fldCharType="begin"/>
    </w:r>
    <w:r w:rsidR="002B19ED" w:rsidRPr="008020CD">
      <w:rPr>
        <w:rFonts w:ascii="Arial" w:hAnsi="Arial" w:cs="Arial"/>
        <w:b/>
        <w:bCs/>
        <w:sz w:val="14"/>
        <w:szCs w:val="14"/>
      </w:rPr>
      <w:instrText xml:space="preserve"> NUMPAGES  \* Arabic  \* MERGEFORMAT </w:instrText>
    </w:r>
    <w:r w:rsidR="002B19ED" w:rsidRPr="008020CD">
      <w:rPr>
        <w:rFonts w:ascii="Arial" w:hAnsi="Arial" w:cs="Arial"/>
        <w:b/>
        <w:bCs/>
        <w:sz w:val="14"/>
        <w:szCs w:val="14"/>
      </w:rPr>
      <w:fldChar w:fldCharType="separate"/>
    </w:r>
    <w:r w:rsidR="00855B73">
      <w:rPr>
        <w:rFonts w:ascii="Arial" w:hAnsi="Arial" w:cs="Arial"/>
        <w:b/>
        <w:bCs/>
        <w:noProof/>
        <w:sz w:val="14"/>
        <w:szCs w:val="14"/>
      </w:rPr>
      <w:t>6</w:t>
    </w:r>
    <w:r w:rsidR="002B19ED" w:rsidRPr="008020CD">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EF" w:rsidRDefault="009348EF" w:rsidP="008020CD">
      <w:pPr>
        <w:spacing w:after="0" w:line="240" w:lineRule="auto"/>
      </w:pPr>
      <w:r>
        <w:separator/>
      </w:r>
    </w:p>
  </w:footnote>
  <w:footnote w:type="continuationSeparator" w:id="0">
    <w:p w:rsidR="009348EF" w:rsidRDefault="009348EF" w:rsidP="00802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4F1E"/>
    <w:multiLevelType w:val="hybridMultilevel"/>
    <w:tmpl w:val="DFB82C22"/>
    <w:lvl w:ilvl="0" w:tplc="92680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004BA"/>
    <w:multiLevelType w:val="hybridMultilevel"/>
    <w:tmpl w:val="15F6BD7E"/>
    <w:lvl w:ilvl="0" w:tplc="295C3490">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7">
      <w:start w:val="1"/>
      <w:numFmt w:val="lowerLetter"/>
      <w:lvlText w:val="%3)"/>
      <w:lvlJc w:val="left"/>
      <w:pPr>
        <w:ind w:left="648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115E1"/>
    <w:multiLevelType w:val="hybridMultilevel"/>
    <w:tmpl w:val="56E85B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4A2A45"/>
    <w:multiLevelType w:val="hybridMultilevel"/>
    <w:tmpl w:val="9D5A327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683951"/>
    <w:multiLevelType w:val="hybridMultilevel"/>
    <w:tmpl w:val="117882F2"/>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98D1A84"/>
    <w:multiLevelType w:val="hybridMultilevel"/>
    <w:tmpl w:val="F4447E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902F5F"/>
    <w:multiLevelType w:val="hybridMultilevel"/>
    <w:tmpl w:val="F9EEE622"/>
    <w:lvl w:ilvl="0" w:tplc="11E03872">
      <w:start w:val="2"/>
      <w:numFmt w:val="decimal"/>
      <w:lvlText w:val="%1."/>
      <w:lvlJc w:val="left"/>
      <w:pPr>
        <w:ind w:left="720" w:hanging="360"/>
      </w:pPr>
      <w:rPr>
        <w:rFonts w:ascii="Arial" w:eastAsia="Times New Roman" w:hAnsi="Arial" w:cs="Arial" w:hint="default"/>
        <w:color w:val="333333"/>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44284"/>
    <w:multiLevelType w:val="hybridMultilevel"/>
    <w:tmpl w:val="A614E636"/>
    <w:lvl w:ilvl="0" w:tplc="377A96A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F0396E"/>
    <w:multiLevelType w:val="multilevel"/>
    <w:tmpl w:val="F450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2"/>
  </w:num>
  <w:num w:numId="5">
    <w:abstractNumId w:val="4"/>
  </w:num>
  <w:num w:numId="6">
    <w:abstractNumId w:val="3"/>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A1"/>
    <w:rsid w:val="00012C61"/>
    <w:rsid w:val="00047FB0"/>
    <w:rsid w:val="000B5FC2"/>
    <w:rsid w:val="000F32D9"/>
    <w:rsid w:val="000F6018"/>
    <w:rsid w:val="001030FC"/>
    <w:rsid w:val="001345FF"/>
    <w:rsid w:val="00160E01"/>
    <w:rsid w:val="001C487F"/>
    <w:rsid w:val="001C567B"/>
    <w:rsid w:val="001E79C4"/>
    <w:rsid w:val="00211D1A"/>
    <w:rsid w:val="00226D3F"/>
    <w:rsid w:val="00242F55"/>
    <w:rsid w:val="00272BE8"/>
    <w:rsid w:val="00277FCE"/>
    <w:rsid w:val="00285336"/>
    <w:rsid w:val="00291948"/>
    <w:rsid w:val="002A5DE8"/>
    <w:rsid w:val="002B19ED"/>
    <w:rsid w:val="002C0D92"/>
    <w:rsid w:val="002E26E6"/>
    <w:rsid w:val="002F4437"/>
    <w:rsid w:val="00322FEC"/>
    <w:rsid w:val="003505DA"/>
    <w:rsid w:val="00380A9F"/>
    <w:rsid w:val="003847DF"/>
    <w:rsid w:val="003A4DE1"/>
    <w:rsid w:val="003C01D5"/>
    <w:rsid w:val="003C2D24"/>
    <w:rsid w:val="004055A1"/>
    <w:rsid w:val="004B4AC3"/>
    <w:rsid w:val="004D021C"/>
    <w:rsid w:val="004D50E8"/>
    <w:rsid w:val="00505149"/>
    <w:rsid w:val="005253A5"/>
    <w:rsid w:val="00537DC2"/>
    <w:rsid w:val="005460A5"/>
    <w:rsid w:val="00552593"/>
    <w:rsid w:val="00557BE3"/>
    <w:rsid w:val="00574F54"/>
    <w:rsid w:val="005754C9"/>
    <w:rsid w:val="00592BC8"/>
    <w:rsid w:val="005A1DBE"/>
    <w:rsid w:val="006018DC"/>
    <w:rsid w:val="00620D1D"/>
    <w:rsid w:val="00625E25"/>
    <w:rsid w:val="00637382"/>
    <w:rsid w:val="00643815"/>
    <w:rsid w:val="006562BE"/>
    <w:rsid w:val="00673F31"/>
    <w:rsid w:val="00677731"/>
    <w:rsid w:val="006816B1"/>
    <w:rsid w:val="00684A37"/>
    <w:rsid w:val="0069251E"/>
    <w:rsid w:val="006A64B3"/>
    <w:rsid w:val="006C57A2"/>
    <w:rsid w:val="00724A30"/>
    <w:rsid w:val="0073685B"/>
    <w:rsid w:val="00741C2D"/>
    <w:rsid w:val="00754A7B"/>
    <w:rsid w:val="007D0A01"/>
    <w:rsid w:val="007E44E1"/>
    <w:rsid w:val="007E5F22"/>
    <w:rsid w:val="007F0775"/>
    <w:rsid w:val="007F6F92"/>
    <w:rsid w:val="008020CD"/>
    <w:rsid w:val="0080320E"/>
    <w:rsid w:val="0082461A"/>
    <w:rsid w:val="0083435E"/>
    <w:rsid w:val="00837546"/>
    <w:rsid w:val="00845766"/>
    <w:rsid w:val="00855737"/>
    <w:rsid w:val="00855B73"/>
    <w:rsid w:val="0088374E"/>
    <w:rsid w:val="00892666"/>
    <w:rsid w:val="00895E7D"/>
    <w:rsid w:val="008A4026"/>
    <w:rsid w:val="008C4DDC"/>
    <w:rsid w:val="008C5554"/>
    <w:rsid w:val="008D4BBB"/>
    <w:rsid w:val="009348EF"/>
    <w:rsid w:val="00976807"/>
    <w:rsid w:val="00981A44"/>
    <w:rsid w:val="009951BA"/>
    <w:rsid w:val="00A0227E"/>
    <w:rsid w:val="00A127D8"/>
    <w:rsid w:val="00A35BB1"/>
    <w:rsid w:val="00A62E21"/>
    <w:rsid w:val="00A76F96"/>
    <w:rsid w:val="00A95778"/>
    <w:rsid w:val="00A960BD"/>
    <w:rsid w:val="00B042C9"/>
    <w:rsid w:val="00B04885"/>
    <w:rsid w:val="00B20348"/>
    <w:rsid w:val="00B2791B"/>
    <w:rsid w:val="00B41924"/>
    <w:rsid w:val="00B54412"/>
    <w:rsid w:val="00B73011"/>
    <w:rsid w:val="00B7475D"/>
    <w:rsid w:val="00B8134A"/>
    <w:rsid w:val="00BB5867"/>
    <w:rsid w:val="00C37E7D"/>
    <w:rsid w:val="00C42909"/>
    <w:rsid w:val="00C522E8"/>
    <w:rsid w:val="00C671E9"/>
    <w:rsid w:val="00CE03C5"/>
    <w:rsid w:val="00CE3CEA"/>
    <w:rsid w:val="00D05F14"/>
    <w:rsid w:val="00D54DEE"/>
    <w:rsid w:val="00D63492"/>
    <w:rsid w:val="00DB2084"/>
    <w:rsid w:val="00DF3EE4"/>
    <w:rsid w:val="00E11029"/>
    <w:rsid w:val="00E127CA"/>
    <w:rsid w:val="00E4736B"/>
    <w:rsid w:val="00E55D54"/>
    <w:rsid w:val="00E748FC"/>
    <w:rsid w:val="00EA307E"/>
    <w:rsid w:val="00ED21E0"/>
    <w:rsid w:val="00EF0D58"/>
    <w:rsid w:val="00F257A9"/>
    <w:rsid w:val="00F44335"/>
    <w:rsid w:val="00F450AB"/>
    <w:rsid w:val="00F57F34"/>
    <w:rsid w:val="00FB0F75"/>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61D2"/>
  <w15:docId w15:val="{D6CF3F1D-D533-4F9C-B7C3-64B4AD2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335"/>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5E25"/>
    <w:pPr>
      <w:framePr w:w="7920" w:h="1980" w:hRule="exact" w:hSpace="180" w:wrap="auto" w:hAnchor="page" w:xAlign="center" w:yAlign="bottom"/>
      <w:ind w:left="2880"/>
    </w:pPr>
    <w:rPr>
      <w:rFonts w:eastAsia="Times New Roman"/>
      <w:szCs w:val="24"/>
    </w:rPr>
  </w:style>
  <w:style w:type="paragraph" w:styleId="ListParagraph">
    <w:name w:val="List Paragraph"/>
    <w:basedOn w:val="Normal"/>
    <w:uiPriority w:val="34"/>
    <w:qFormat/>
    <w:rsid w:val="00F44335"/>
    <w:pPr>
      <w:ind w:left="720"/>
      <w:contextualSpacing/>
    </w:pPr>
  </w:style>
  <w:style w:type="paragraph" w:styleId="Header">
    <w:name w:val="header"/>
    <w:basedOn w:val="Normal"/>
    <w:link w:val="HeaderChar"/>
    <w:uiPriority w:val="99"/>
    <w:unhideWhenUsed/>
    <w:rsid w:val="00F44335"/>
    <w:pPr>
      <w:tabs>
        <w:tab w:val="center" w:pos="4680"/>
        <w:tab w:val="right" w:pos="9360"/>
      </w:tabs>
      <w:spacing w:after="0" w:line="240" w:lineRule="auto"/>
    </w:pPr>
  </w:style>
  <w:style w:type="character" w:customStyle="1" w:styleId="HeaderChar">
    <w:name w:val="Header Char"/>
    <w:link w:val="Header"/>
    <w:uiPriority w:val="99"/>
    <w:rsid w:val="00F44335"/>
    <w:rPr>
      <w:rFonts w:ascii="Calibri" w:hAnsi="Calibri"/>
      <w:sz w:val="22"/>
    </w:rPr>
  </w:style>
  <w:style w:type="paragraph" w:styleId="NoSpacing">
    <w:name w:val="No Spacing"/>
    <w:uiPriority w:val="1"/>
    <w:qFormat/>
    <w:rsid w:val="00F44335"/>
    <w:rPr>
      <w:rFonts w:ascii="Calibri" w:hAnsi="Calibri"/>
      <w:sz w:val="22"/>
      <w:szCs w:val="22"/>
    </w:rPr>
  </w:style>
  <w:style w:type="table" w:styleId="TableGrid">
    <w:name w:val="Table Grid"/>
    <w:basedOn w:val="TableNormal"/>
    <w:uiPriority w:val="59"/>
    <w:rsid w:val="00F4433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B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5BB1"/>
    <w:rPr>
      <w:rFonts w:ascii="Segoe UI" w:hAnsi="Segoe UI" w:cs="Segoe UI"/>
      <w:sz w:val="18"/>
      <w:szCs w:val="18"/>
    </w:rPr>
  </w:style>
  <w:style w:type="paragraph" w:styleId="Footer">
    <w:name w:val="footer"/>
    <w:basedOn w:val="Normal"/>
    <w:link w:val="FooterChar"/>
    <w:uiPriority w:val="99"/>
    <w:unhideWhenUsed/>
    <w:rsid w:val="008020CD"/>
    <w:pPr>
      <w:tabs>
        <w:tab w:val="center" w:pos="4680"/>
        <w:tab w:val="right" w:pos="9360"/>
      </w:tabs>
      <w:spacing w:after="0" w:line="240" w:lineRule="auto"/>
    </w:pPr>
  </w:style>
  <w:style w:type="character" w:customStyle="1" w:styleId="FooterChar">
    <w:name w:val="Footer Char"/>
    <w:link w:val="Footer"/>
    <w:uiPriority w:val="99"/>
    <w:rsid w:val="008020CD"/>
    <w:rPr>
      <w:rFonts w:ascii="Calibri" w:hAnsi="Calibri"/>
      <w:sz w:val="22"/>
    </w:rPr>
  </w:style>
  <w:style w:type="character" w:styleId="PageNumber">
    <w:name w:val="page number"/>
    <w:basedOn w:val="DefaultParagraphFont"/>
    <w:uiPriority w:val="99"/>
    <w:semiHidden/>
    <w:unhideWhenUsed/>
    <w:rsid w:val="007E44E1"/>
  </w:style>
  <w:style w:type="table" w:customStyle="1" w:styleId="TableGrid1">
    <w:name w:val="Table Grid1"/>
    <w:basedOn w:val="TableNormal"/>
    <w:next w:val="TableGrid"/>
    <w:uiPriority w:val="59"/>
    <w:rsid w:val="0073685B"/>
    <w:pPr>
      <w:ind w:left="72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D54"/>
    <w:rPr>
      <w:color w:val="0000FF" w:themeColor="hyperlink"/>
      <w:u w:val="single"/>
    </w:rPr>
  </w:style>
  <w:style w:type="character" w:styleId="UnresolvedMention">
    <w:name w:val="Unresolved Mention"/>
    <w:basedOn w:val="DefaultParagraphFont"/>
    <w:uiPriority w:val="99"/>
    <w:semiHidden/>
    <w:unhideWhenUsed/>
    <w:rsid w:val="00E55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stonhealthcar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hchox\templates$\Livingston%20HealthCare\Policy%20HR%20Form%20%2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HR Form #19.dot</Template>
  <TotalTime>45</TotalTime>
  <Pages>1</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Shepardson</dc:creator>
  <cp:lastModifiedBy>Eunice Shepardson</cp:lastModifiedBy>
  <cp:revision>8</cp:revision>
  <cp:lastPrinted>2016-02-25T18:30:00Z</cp:lastPrinted>
  <dcterms:created xsi:type="dcterms:W3CDTF">2020-03-09T20:08:00Z</dcterms:created>
  <dcterms:modified xsi:type="dcterms:W3CDTF">2020-04-30T17:50:00Z</dcterms:modified>
</cp:coreProperties>
</file>